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68A9" w14:textId="77777777" w:rsidR="00960062" w:rsidRDefault="00960062" w:rsidP="00960062">
      <w:pPr>
        <w:pStyle w:val="a0"/>
      </w:pPr>
      <w:bookmarkStart w:id="0" w:name="_Toc461612614"/>
      <w:bookmarkStart w:id="1" w:name="_Toc461612496"/>
    </w:p>
    <w:p w14:paraId="717CFA8D" w14:textId="77777777" w:rsidR="00960062" w:rsidRDefault="00960062" w:rsidP="00960062">
      <w:pPr>
        <w:overflowPunct w:val="0"/>
        <w:adjustRightInd w:val="0"/>
        <w:spacing w:line="640" w:lineRule="exact"/>
        <w:ind w:firstLine="0"/>
        <w:jc w:val="center"/>
        <w:rPr>
          <w:rFonts w:eastAsia="方正小标宋_GBK"/>
          <w:w w:val="90"/>
          <w:sz w:val="44"/>
          <w:szCs w:val="44"/>
        </w:rPr>
      </w:pPr>
      <w:r>
        <w:rPr>
          <w:rFonts w:eastAsia="方正小标宋_GBK" w:hint="eastAsia"/>
          <w:w w:val="90"/>
          <w:sz w:val="44"/>
          <w:szCs w:val="44"/>
        </w:rPr>
        <w:t>泰州市特种设备事故应急预案</w:t>
      </w:r>
    </w:p>
    <w:p w14:paraId="62A4E74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bookmarkStart w:id="2" w:name="_Toc40892603"/>
    </w:p>
    <w:p w14:paraId="6B49C34B"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1  总则</w:t>
      </w:r>
      <w:bookmarkEnd w:id="2"/>
    </w:p>
    <w:p w14:paraId="07D6040B"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3" w:name="_Toc40892604"/>
      <w:r>
        <w:rPr>
          <w:rFonts w:ascii="方正楷体_GBK" w:eastAsia="方正楷体_GBK" w:hAnsi="方正楷体_GBK" w:cs="方正楷体_GBK" w:hint="eastAsia"/>
          <w:szCs w:val="32"/>
        </w:rPr>
        <w:t>1.1  编制目的</w:t>
      </w:r>
      <w:bookmarkEnd w:id="3"/>
    </w:p>
    <w:p w14:paraId="3865CDC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为有效预防、及时处置本市特种设备事故，规范特种设备事故应急管理和响应程序，迅速有序地开展应急救援工作，最大限度减少人员伤亡和财产损失，保护生态环境，维护社会稳定。</w:t>
      </w:r>
    </w:p>
    <w:p w14:paraId="3493EC1D"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 w:name="_Toc40892605"/>
      <w:r>
        <w:rPr>
          <w:rFonts w:ascii="方正楷体_GBK" w:eastAsia="方正楷体_GBK" w:hAnsi="方正楷体_GBK" w:cs="方正楷体_GBK" w:hint="eastAsia"/>
          <w:szCs w:val="32"/>
        </w:rPr>
        <w:t>1.2  编制依据</w:t>
      </w:r>
      <w:bookmarkEnd w:id="4"/>
    </w:p>
    <w:p w14:paraId="29D5DD7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《中华人民共和国安全生产法》</w:t>
      </w:r>
    </w:p>
    <w:p w14:paraId="0C9D07C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《中华人民共和国特种设备安全法》</w:t>
      </w:r>
    </w:p>
    <w:p w14:paraId="7F401AF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《中华人民共和国突发事件应对法》</w:t>
      </w:r>
    </w:p>
    <w:p w14:paraId="595715A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《特种设备安全监察条例》</w:t>
      </w:r>
    </w:p>
    <w:p w14:paraId="7CE669D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《特种设备事故报告和调查处理规定》（总局第115号令）</w:t>
      </w:r>
    </w:p>
    <w:p w14:paraId="2E76D2C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《突发事件应急预案管理办法》（国办发〔2013〕101号）</w:t>
      </w:r>
    </w:p>
    <w:p w14:paraId="1F8080A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《江苏省政府办公厅关于印发江苏省突发事件应急预案管理办法的通知》（苏政办发〔2012〕153号）</w:t>
      </w:r>
    </w:p>
    <w:p w14:paraId="1FD412C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bookmarkStart w:id="5" w:name="_Hlk499903941"/>
      <w:r>
        <w:rPr>
          <w:rFonts w:ascii="方正仿宋_GBK" w:eastAsia="方正仿宋_GBK" w:hAnsi="方正仿宋_GBK" w:cs="方正仿宋_GBK" w:hint="eastAsia"/>
          <w:szCs w:val="32"/>
        </w:rPr>
        <w:t>《江苏省突发事件预警信息发布管理办法》（苏政办发〔2013〕141号）</w:t>
      </w:r>
    </w:p>
    <w:p w14:paraId="25E2530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《特种设备事故报告和调查处理导则》（TSG03—2015）</w:t>
      </w:r>
    </w:p>
    <w:p w14:paraId="76975C5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《江苏省突发事件总体应急预案》（苏政发〔2020〕6号）</w:t>
      </w:r>
    </w:p>
    <w:p w14:paraId="27BDCBD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《江苏省特种设备重特大事故应急预案》（苏政办函〔2020〕28号）</w:t>
      </w:r>
    </w:p>
    <w:p w14:paraId="3742FD4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《泰州市突发事件总体应急预案》（</w:t>
      </w:r>
      <w:proofErr w:type="gramStart"/>
      <w:r>
        <w:rPr>
          <w:rFonts w:ascii="方正仿宋_GBK" w:eastAsia="方正仿宋_GBK" w:hAnsi="方正仿宋_GBK" w:cs="方正仿宋_GBK" w:hint="eastAsia"/>
          <w:szCs w:val="32"/>
        </w:rPr>
        <w:t>泰政发</w:t>
      </w:r>
      <w:proofErr w:type="gramEnd"/>
      <w:r>
        <w:rPr>
          <w:rFonts w:ascii="方正仿宋_GBK" w:eastAsia="方正仿宋_GBK" w:hAnsi="方正仿宋_GBK" w:cs="方正仿宋_GBK" w:hint="eastAsia"/>
          <w:szCs w:val="32"/>
        </w:rPr>
        <w:t>〔2021〕22号）</w:t>
      </w:r>
    </w:p>
    <w:p w14:paraId="1FFA9F4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《泰州市较大生产安全事故应急预案》</w:t>
      </w:r>
      <w:bookmarkEnd w:id="5"/>
      <w:r>
        <w:rPr>
          <w:rFonts w:ascii="方正仿宋_GBK" w:eastAsia="方正仿宋_GBK" w:hAnsi="方正仿宋_GBK" w:cs="方正仿宋_GBK" w:hint="eastAsia"/>
          <w:szCs w:val="32"/>
        </w:rPr>
        <w:t>（</w:t>
      </w:r>
      <w:proofErr w:type="gramStart"/>
      <w:r>
        <w:rPr>
          <w:rFonts w:ascii="方正仿宋_GBK" w:eastAsia="方正仿宋_GBK" w:hAnsi="方正仿宋_GBK" w:cs="方正仿宋_GBK" w:hint="eastAsia"/>
          <w:szCs w:val="32"/>
        </w:rPr>
        <w:t>泰政办</w:t>
      </w:r>
      <w:proofErr w:type="gramEnd"/>
      <w:r>
        <w:rPr>
          <w:rFonts w:ascii="方正仿宋_GBK" w:eastAsia="方正仿宋_GBK" w:hAnsi="方正仿宋_GBK" w:cs="方正仿宋_GBK" w:hint="eastAsia"/>
          <w:szCs w:val="32"/>
        </w:rPr>
        <w:t>函〔2021〕4号）</w:t>
      </w:r>
    </w:p>
    <w:p w14:paraId="6CBC1EA8"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6" w:name="_Toc40892606"/>
      <w:r>
        <w:rPr>
          <w:rFonts w:ascii="方正楷体_GBK" w:eastAsia="方正楷体_GBK" w:hAnsi="方正楷体_GBK" w:cs="方正楷体_GBK" w:hint="eastAsia"/>
          <w:szCs w:val="32"/>
        </w:rPr>
        <w:t>1.3  适用范围</w:t>
      </w:r>
      <w:bookmarkEnd w:id="6"/>
    </w:p>
    <w:p w14:paraId="07F10D0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本预案适用于本市行政区域内发生的特种设备较大事故的应急救援，主要包括涉及对人身和财产安全有较大危险性的锅炉、压力容器（含气瓶）、压力管道、电梯、起重机械、大型游乐设施、场（厂）内专用机动车辆等设备设施的较大事故的应急救援。</w:t>
      </w:r>
    </w:p>
    <w:p w14:paraId="458D213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本市行政区域内发生的特种设备特别重大、重大事故按《江苏省特种设备重特大事故应急预案》进行应急救援。</w:t>
      </w:r>
    </w:p>
    <w:p w14:paraId="523F9E0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本市行政区域内发生的一般事故由各市（区）人民政府、泰州医药高新区管委会按照各地特种设备事故应急预案进行应急救援。</w:t>
      </w:r>
    </w:p>
    <w:p w14:paraId="6D9F7AF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范围按照《中华人民共和国特种设备安全法》确定，特种设备事故范围按照《特种设备事故报告和调查处理规定》《特设备事故报告和调查处理导则》确定，特种设备事故分级依照《特种设备安全监察条例》确定。</w:t>
      </w:r>
    </w:p>
    <w:p w14:paraId="1A3C530F"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7" w:name="_Toc40892607"/>
      <w:r>
        <w:rPr>
          <w:rFonts w:ascii="方正楷体_GBK" w:eastAsia="方正楷体_GBK" w:hAnsi="方正楷体_GBK" w:cs="方正楷体_GBK" w:hint="eastAsia"/>
          <w:szCs w:val="32"/>
        </w:rPr>
        <w:t>1.4  工作原则</w:t>
      </w:r>
      <w:bookmarkEnd w:id="7"/>
    </w:p>
    <w:p w14:paraId="174B225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（一）以人为本，保障安全。切实履行政府社会管理和公共服务职能，将保障人民生命财产安全作为首要任务，最大程度预防和减少特种设备事故危害。</w:t>
      </w:r>
    </w:p>
    <w:p w14:paraId="38705C4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（二）统一领导，分级负责。在市委、市政府统一领导下，市特种设备事故应急指挥中心牵头组织处置特种设备较大事故，各市（区）人民政府、泰州医药高新区管委会领导各地特种设备事故应急指挥中心处置</w:t>
      </w:r>
      <w:r>
        <w:rPr>
          <w:rFonts w:ascii="方正仿宋_GBK" w:eastAsia="方正仿宋_GBK" w:hAnsi="方正仿宋_GBK" w:cs="方正仿宋_GBK" w:hint="eastAsia"/>
          <w:bCs/>
          <w:color w:val="000000"/>
          <w:szCs w:val="32"/>
        </w:rPr>
        <w:t>特种设备一般事故</w:t>
      </w:r>
      <w:r>
        <w:rPr>
          <w:rFonts w:ascii="方正仿宋_GBK" w:eastAsia="方正仿宋_GBK" w:hAnsi="方正仿宋_GBK" w:cs="方正仿宋_GBK" w:hint="eastAsia"/>
          <w:color w:val="000000"/>
          <w:szCs w:val="32"/>
        </w:rPr>
        <w:t>。</w:t>
      </w:r>
    </w:p>
    <w:p w14:paraId="499134B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（三）分类响应，科学应对。按照特种设备事故类别和特点，实行分类响应。充分发挥专家作用，民主决策，科学应对。</w:t>
      </w:r>
    </w:p>
    <w:p w14:paraId="629FFBF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（四）预防为主，平战结合。贯彻落实“安全第一、预防为主、综合治理”的方针，坚持应急与预防相结合，加强预防、预测、预警和预报工作，做好常态下的应急准备工作。</w:t>
      </w:r>
    </w:p>
    <w:p w14:paraId="2E910D84"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8" w:name="_Toc40892608"/>
      <w:r>
        <w:rPr>
          <w:rFonts w:ascii="方正楷体_GBK" w:eastAsia="方正楷体_GBK" w:hAnsi="方正楷体_GBK" w:cs="方正楷体_GBK" w:hint="eastAsia"/>
          <w:szCs w:val="32"/>
        </w:rPr>
        <w:t>1.5  预案体系</w:t>
      </w:r>
      <w:bookmarkEnd w:id="8"/>
    </w:p>
    <w:p w14:paraId="0DC046F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《泰州市特种设备事故应急预案》是本市特种设备事故应急专项预案。各市（区）人民政府、泰州医药高新区管委会、市各有关部门（单位）应当根据本预案组织制定地方和部门（单位）特种设备应急预案。</w:t>
      </w:r>
    </w:p>
    <w:p w14:paraId="246E31B1"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9" w:name="_Toc40892610"/>
      <w:r>
        <w:rPr>
          <w:rFonts w:ascii="方正黑体_GBK" w:eastAsia="方正黑体_GBK" w:hAnsi="方正黑体_GBK" w:cs="方正黑体_GBK" w:hint="eastAsia"/>
          <w:szCs w:val="32"/>
        </w:rPr>
        <w:t>2  组织体系</w:t>
      </w:r>
      <w:bookmarkEnd w:id="9"/>
    </w:p>
    <w:p w14:paraId="3275183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泰州市特种设备事故应急组织体系由指挥机构、办事机构、现场指挥机构、各市（区）人民政府和泰州医药高新区管委会组织指挥机构、专家组、特种设备使用单位组成。应急组织体系图</w:t>
      </w:r>
      <w:r>
        <w:rPr>
          <w:rFonts w:ascii="方正仿宋_GBK" w:eastAsia="方正仿宋_GBK" w:hAnsi="方正仿宋_GBK" w:cs="方正仿宋_GBK" w:hint="eastAsia"/>
          <w:szCs w:val="32"/>
        </w:rPr>
        <w:lastRenderedPageBreak/>
        <w:t>见附件2。</w:t>
      </w:r>
    </w:p>
    <w:p w14:paraId="512F93D5"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10" w:name="_Toc40892611"/>
      <w:r>
        <w:rPr>
          <w:rFonts w:ascii="方正楷体_GBK" w:eastAsia="方正楷体_GBK" w:hAnsi="方正楷体_GBK" w:cs="方正楷体_GBK" w:hint="eastAsia"/>
          <w:szCs w:val="32"/>
        </w:rPr>
        <w:t>2.1  指挥机构及职责</w:t>
      </w:r>
      <w:bookmarkEnd w:id="10"/>
    </w:p>
    <w:p w14:paraId="29472AA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市政府成立</w:t>
      </w:r>
      <w:bookmarkStart w:id="11" w:name="_Hlk500427033"/>
      <w:r>
        <w:rPr>
          <w:rFonts w:ascii="方正仿宋_GBK" w:eastAsia="方正仿宋_GBK" w:hAnsi="方正仿宋_GBK" w:cs="方正仿宋_GBK" w:hint="eastAsia"/>
          <w:szCs w:val="32"/>
        </w:rPr>
        <w:t>市特种设备事故应急指挥中心</w:t>
      </w:r>
      <w:bookmarkEnd w:id="11"/>
      <w:r>
        <w:rPr>
          <w:rFonts w:ascii="方正仿宋_GBK" w:eastAsia="方正仿宋_GBK" w:hAnsi="方正仿宋_GBK" w:cs="方正仿宋_GBK" w:hint="eastAsia"/>
          <w:szCs w:val="32"/>
        </w:rPr>
        <w:t>（以下简称市指挥中心），统一指挥全市特种设备事故应急处置工作。总指挥由分管副市长担任，副总指挥由市政府分管副秘书长、市市场监督管理局主要负责人担任。负责指挥、协调各成员单位的应急救援，提出事故应急决策。</w:t>
      </w:r>
    </w:p>
    <w:p w14:paraId="2A3BD4B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2.1.1  市指挥中心主要职责</w:t>
      </w:r>
    </w:p>
    <w:p w14:paraId="545CED2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（一）贯彻党中央、国务院决策部署和省委省政府、市委市政府的相关要求，领导、组织、协调全市特种设备应急救援工作。</w:t>
      </w:r>
    </w:p>
    <w:p w14:paraId="0C02447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（二）负责应急救援重大事项的决策，适时发布启动应急响应和终止应急响应状态的命令。</w:t>
      </w:r>
    </w:p>
    <w:p w14:paraId="4E0845A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（三）协调各成员单位参与应急救援工作。</w:t>
      </w:r>
    </w:p>
    <w:p w14:paraId="2E6587D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szCs w:val="32"/>
        </w:rPr>
        <w:t>（四）向市委、市政府报告事故和救援情况，</w:t>
      </w:r>
      <w:r>
        <w:rPr>
          <w:rFonts w:ascii="方正仿宋_GBK" w:eastAsia="方正仿宋_GBK" w:hAnsi="方正仿宋_GBK" w:cs="方正仿宋_GBK" w:hint="eastAsia"/>
          <w:color w:val="000000"/>
          <w:szCs w:val="32"/>
        </w:rPr>
        <w:t>必要时，报请市委、市政府向省请求支援。</w:t>
      </w:r>
    </w:p>
    <w:p w14:paraId="0818167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2.1.2  市指挥中心成员单位及主要职责</w:t>
      </w:r>
    </w:p>
    <w:p w14:paraId="1F22E69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市市场监管局：指导、督促各市（区）人民政府、泰州医药高新区管委会做好特种设备安全监管工作；负责收集、处理和报告特种设备事故的相关情况和信息，提供特种设备有关技术数据，提出应急救援的建议。</w:t>
      </w:r>
    </w:p>
    <w:p w14:paraId="18F5F9E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市委宣传部：会同有关部门提出新闻发布、报道相关工作意</w:t>
      </w:r>
      <w:r>
        <w:rPr>
          <w:rFonts w:ascii="方正仿宋_GBK" w:eastAsia="方正仿宋_GBK" w:hAnsi="方正仿宋_GBK" w:cs="方正仿宋_GBK" w:hint="eastAsia"/>
          <w:szCs w:val="32"/>
        </w:rPr>
        <w:lastRenderedPageBreak/>
        <w:t>见，组织指导新闻发布、报道工作，及时协调有关方面开展对外解疑释惑、澄清事实、批驳谣言等工作；负责现场记者的采访管理工作。</w:t>
      </w:r>
    </w:p>
    <w:p w14:paraId="2F80660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proofErr w:type="gramStart"/>
      <w:r>
        <w:rPr>
          <w:rFonts w:ascii="方正仿宋_GBK" w:eastAsia="方正仿宋_GBK" w:hAnsi="方正仿宋_GBK" w:cs="方正仿宋_GBK" w:hint="eastAsia"/>
          <w:szCs w:val="32"/>
        </w:rPr>
        <w:t>市委网信办</w:t>
      </w:r>
      <w:proofErr w:type="gramEnd"/>
      <w:r>
        <w:rPr>
          <w:rFonts w:ascii="方正仿宋_GBK" w:eastAsia="方正仿宋_GBK" w:hAnsi="方正仿宋_GBK" w:cs="方正仿宋_GBK" w:hint="eastAsia"/>
          <w:szCs w:val="32"/>
        </w:rPr>
        <w:t>：负责特种设备事故的舆情监测和舆论引导工作，加强互联网信息管理。</w:t>
      </w:r>
    </w:p>
    <w:p w14:paraId="6BD748AD"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市应急局：协助协调特种设备事故应急救援工作。</w:t>
      </w:r>
    </w:p>
    <w:p w14:paraId="3D0BF3C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市消防救援支队：负责组织协调特种设备火灾事故及其他以抢救人员生命为主的应急救援工作。</w:t>
      </w:r>
    </w:p>
    <w:p w14:paraId="0E941EE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市公安局：负责组织协调特种设备事故现场的治安保卫、道路交通管制，保障救援道路畅通等工作。</w:t>
      </w:r>
    </w:p>
    <w:p w14:paraId="6371E57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市卫生健康委：负责组织协调应急医疗救援和卫生防疫工作，指导地方医疗卫生救援工作并提供技术支持。</w:t>
      </w:r>
    </w:p>
    <w:p w14:paraId="237E1CB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市生态环境局：负责组织协调特种设备事故现场环境监测与预警工作。</w:t>
      </w:r>
    </w:p>
    <w:p w14:paraId="382081A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市气象局：负责天气监测、预报、预测，及时提供气象信息服务，开展因气象灾害引发事故的灾害调查、评估及气象分析等工作。</w:t>
      </w:r>
    </w:p>
    <w:p w14:paraId="521BCAF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color w:val="000000"/>
          <w:szCs w:val="32"/>
        </w:rPr>
        <w:t>市发展改革委：建立健全应急救援物资储存、调拨和紧急配送系统，确保应急救援所需的物资器材和生活用品的应急供应。</w:t>
      </w:r>
    </w:p>
    <w:p w14:paraId="0F45A4D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市财政局：负责应急处置经费保障工作。</w:t>
      </w:r>
    </w:p>
    <w:p w14:paraId="7DD1C0C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市交通运输局：负责组织协调应急救援所需的水陆交通运输</w:t>
      </w:r>
      <w:r>
        <w:rPr>
          <w:rFonts w:ascii="方正仿宋_GBK" w:eastAsia="方正仿宋_GBK" w:hAnsi="方正仿宋_GBK" w:cs="方正仿宋_GBK" w:hint="eastAsia"/>
          <w:szCs w:val="32"/>
        </w:rPr>
        <w:lastRenderedPageBreak/>
        <w:t>保障及除长江以外市内其他通航水域的水上交通管控工作。</w:t>
      </w:r>
    </w:p>
    <w:p w14:paraId="72DD184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泰州海事局：负责组织协调长江泰州段交通管控工作。</w:t>
      </w:r>
    </w:p>
    <w:p w14:paraId="26F996B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color w:val="000000"/>
          <w:szCs w:val="32"/>
        </w:rPr>
        <w:t>市民政局：配合做好伤亡人员的善后处理工作。</w:t>
      </w:r>
    </w:p>
    <w:p w14:paraId="5018B1F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bookmarkStart w:id="12" w:name="_Hlk28283810"/>
      <w:r>
        <w:rPr>
          <w:rFonts w:ascii="方正仿宋_GBK" w:eastAsia="方正仿宋_GBK" w:hAnsi="方正仿宋_GBK" w:cs="方正仿宋_GBK" w:hint="eastAsia"/>
          <w:color w:val="000000"/>
          <w:szCs w:val="32"/>
        </w:rPr>
        <w:t>市住房城乡建设局</w:t>
      </w:r>
      <w:bookmarkEnd w:id="12"/>
      <w:r>
        <w:rPr>
          <w:rFonts w:ascii="方正仿宋_GBK" w:eastAsia="方正仿宋_GBK" w:hAnsi="方正仿宋_GBK" w:cs="方正仿宋_GBK" w:hint="eastAsia"/>
          <w:color w:val="000000"/>
          <w:szCs w:val="32"/>
        </w:rPr>
        <w:t>：提</w:t>
      </w:r>
      <w:r>
        <w:rPr>
          <w:rFonts w:ascii="方正仿宋_GBK" w:eastAsia="方正仿宋_GBK" w:hAnsi="方正仿宋_GBK" w:cs="方正仿宋_GBK" w:hint="eastAsia"/>
          <w:szCs w:val="32"/>
        </w:rPr>
        <w:t>供特种设备事故所在区域已采集到的城市地下管线地理空间信息。</w:t>
      </w:r>
    </w:p>
    <w:p w14:paraId="5E71353D"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color w:val="000000"/>
          <w:szCs w:val="32"/>
        </w:rPr>
        <w:t>泰州通信行业管理办公室：负责会同市工业和信息化局做好应急通信保障组织工作。</w:t>
      </w:r>
    </w:p>
    <w:p w14:paraId="3814487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泰州供电公司：负责组织协调电力生产用特种设备事故的应急工作，协调保障应急所需的电力。</w:t>
      </w:r>
    </w:p>
    <w:p w14:paraId="7D2BE46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事发地政府（管委会）：负责组织、协调、实施本辖区特种设备事故应急救援工作。</w:t>
      </w:r>
    </w:p>
    <w:p w14:paraId="17E5221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相关行业主管部门：负责协助管辖范围内使用单位的特种设备事故应急救援工作。</w:t>
      </w:r>
    </w:p>
    <w:p w14:paraId="4C59F039"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13" w:name="_Toc40892612"/>
      <w:r>
        <w:rPr>
          <w:rFonts w:ascii="方正楷体_GBK" w:eastAsia="方正楷体_GBK" w:hAnsi="方正楷体_GBK" w:cs="方正楷体_GBK" w:hint="eastAsia"/>
          <w:szCs w:val="32"/>
        </w:rPr>
        <w:t>2.2  办事机构及职责</w:t>
      </w:r>
      <w:bookmarkEnd w:id="13"/>
    </w:p>
    <w:p w14:paraId="31619E1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特种设备应急指挥中心办公室设在市市场监管局，</w:t>
      </w:r>
      <w:r>
        <w:rPr>
          <w:rFonts w:ascii="方正仿宋_GBK" w:eastAsia="方正仿宋_GBK" w:hAnsi="方正仿宋_GBK" w:cs="方正仿宋_GBK" w:hint="eastAsia"/>
          <w:szCs w:val="32"/>
        </w:rPr>
        <w:t>作为日常办事机构，主任由市市场监管局分管副局长兼任。主要职责：</w:t>
      </w:r>
    </w:p>
    <w:p w14:paraId="08F9A01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（一）负责督查、落实市指挥中心的决定；</w:t>
      </w:r>
    </w:p>
    <w:p w14:paraId="6B8012E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（二）迅速了解、收集和汇总事故信息、损害情况，及时向市指挥中心、省市场监管局报告；</w:t>
      </w:r>
    </w:p>
    <w:p w14:paraId="2B624C1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（三）根据国家特种设备事故应急救援指南指导开展应急救援工作；</w:t>
      </w:r>
    </w:p>
    <w:p w14:paraId="750DC0E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（四）负责建立特种设备事故应急专家库；组织相关人员培训，制订应急演练计划；</w:t>
      </w:r>
    </w:p>
    <w:p w14:paraId="2BAF5B9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（五）办理市指挥中心和市特种设备安全生产专业委员会交办的其他事项。</w:t>
      </w:r>
    </w:p>
    <w:p w14:paraId="015A0794"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14" w:name="_Toc40892613"/>
      <w:r>
        <w:rPr>
          <w:rFonts w:ascii="方正楷体_GBK" w:eastAsia="方正楷体_GBK" w:hAnsi="方正楷体_GBK" w:cs="方正楷体_GBK" w:hint="eastAsia"/>
          <w:szCs w:val="32"/>
        </w:rPr>
        <w:t>2.3  现场指挥机构及职责</w:t>
      </w:r>
      <w:bookmarkEnd w:id="14"/>
    </w:p>
    <w:p w14:paraId="75E16A1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在发生特种设备较大事故并启动本预案后，市指挥中心根据特种设备事故应急处置工作的需要决定是否成立现场指挥部。</w:t>
      </w:r>
      <w:r>
        <w:rPr>
          <w:rFonts w:ascii="方正仿宋_GBK" w:eastAsia="方正仿宋_GBK" w:hAnsi="方正仿宋_GBK" w:cs="方正仿宋_GBK" w:hint="eastAsia"/>
          <w:color w:val="000000"/>
          <w:szCs w:val="32"/>
        </w:rPr>
        <w:t>现场总指挥由市指挥中心委派专人担任。</w:t>
      </w:r>
    </w:p>
    <w:p w14:paraId="63AEFBF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szCs w:val="32"/>
        </w:rPr>
        <w:t>现场指挥部主要职责：担负事故应急救援的现场指挥，负责现场应急处置、救援保障等工作，指挥现场所有参与应急救援的队伍和人员，及时向市指挥中心报告事态发展及应急救援情况。</w:t>
      </w:r>
      <w:r>
        <w:rPr>
          <w:rFonts w:ascii="方正仿宋_GBK" w:eastAsia="方正仿宋_GBK" w:hAnsi="方正仿宋_GBK" w:cs="方正仿宋_GBK" w:hint="eastAsia"/>
          <w:color w:val="000000"/>
          <w:szCs w:val="32"/>
        </w:rPr>
        <w:t>现场指挥部根据现场应急处置需要可设综合协调组、抢险救援组、警戒疏散组、医疗救护组、应急监测组、宣传报道组、后勤保障组，其组成和职责如下：</w:t>
      </w:r>
    </w:p>
    <w:p w14:paraId="4B045C5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w:t>
      </w:r>
      <w:bookmarkStart w:id="15" w:name="_Hlk29540667"/>
      <w:r>
        <w:rPr>
          <w:rFonts w:ascii="方正仿宋_GBK" w:eastAsia="方正仿宋_GBK" w:hAnsi="方正仿宋_GBK" w:cs="方正仿宋_GBK" w:hint="eastAsia"/>
          <w:szCs w:val="32"/>
        </w:rPr>
        <w:t>综合协调组</w:t>
      </w:r>
      <w:bookmarkEnd w:id="15"/>
      <w:r>
        <w:rPr>
          <w:rFonts w:ascii="方正仿宋_GBK" w:eastAsia="方正仿宋_GBK" w:hAnsi="方正仿宋_GBK" w:cs="方正仿宋_GBK" w:hint="eastAsia"/>
          <w:szCs w:val="32"/>
        </w:rPr>
        <w:t>：由市市场监管局牵头，市应急局、发展改革委、公安局、民政局、财政局、通管办、供电公司等单位和事发地政府（管委会）组成，主要职责为组织调配现场应急救援的人员、交通、通讯、装备、救灾物资等救援资源；确保通讯设施完好可用，保证应急救援信息畅通；进行事故伤亡人员和失踪人员登记；对事故进行调查分析并提出处理意见。</w:t>
      </w:r>
    </w:p>
    <w:p w14:paraId="01573EE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（二）抢险救援组：由市</w:t>
      </w:r>
      <w:proofErr w:type="gramStart"/>
      <w:r>
        <w:rPr>
          <w:rFonts w:ascii="方正仿宋_GBK" w:eastAsia="方正仿宋_GBK" w:hAnsi="方正仿宋_GBK" w:cs="方正仿宋_GBK" w:hint="eastAsia"/>
          <w:szCs w:val="32"/>
        </w:rPr>
        <w:t>应急局</w:t>
      </w:r>
      <w:proofErr w:type="gramEnd"/>
      <w:r>
        <w:rPr>
          <w:rFonts w:ascii="方正仿宋_GBK" w:eastAsia="方正仿宋_GBK" w:hAnsi="方正仿宋_GBK" w:cs="方正仿宋_GBK" w:hint="eastAsia"/>
          <w:szCs w:val="32"/>
        </w:rPr>
        <w:t>和消防救援支队牵头，事发</w:t>
      </w:r>
      <w:r>
        <w:rPr>
          <w:rFonts w:ascii="方正仿宋_GBK" w:eastAsia="方正仿宋_GBK" w:hAnsi="方正仿宋_GBK" w:cs="方正仿宋_GBK" w:hint="eastAsia"/>
          <w:szCs w:val="32"/>
        </w:rPr>
        <w:lastRenderedPageBreak/>
        <w:t>地政府（管委会）、事故应急救援专家和救援队伍组成，主要职责是查明事故性质、影响范围及可能继续造成的后果，拟定抢险救援方案；组织有关人员实施经现场指挥部确定的抢险救援方案；组织人员搜救。</w:t>
      </w:r>
    </w:p>
    <w:p w14:paraId="0B1456A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（三）警戒疏散组：由市公安局牵头，市交通运输局、泰州海事局组成，负责现场警戒保卫，维护治安和交通秩序，负责组织实施疏散工作。</w:t>
      </w:r>
    </w:p>
    <w:p w14:paraId="264DAD8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（四）医疗救护组：由市卫生健康委牵头，事发地政府（管委会）配合，负责组织紧急医疗救护队伍，对事故中的受伤人员进行救治。</w:t>
      </w:r>
    </w:p>
    <w:p w14:paraId="0D07A78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五）应急监测组：由市生态环境局牵头，市水利局、气象局、泰州海事局等部门和事发地政府（管委会）组成，负责对事故易发生环境污染、大气污染、水体污染等次生灾害的区域进行监测、对相关设施采取紧急处置措施，防止事故危害扩大，并根据现场监测数据和专家组评估结果确定需要疏散人群的范围。</w:t>
      </w:r>
    </w:p>
    <w:p w14:paraId="79B2585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（六）宣传报道组：由市委宣传部牵头，市市场监管局、</w:t>
      </w:r>
      <w:proofErr w:type="gramStart"/>
      <w:r>
        <w:rPr>
          <w:rFonts w:ascii="方正仿宋_GBK" w:eastAsia="方正仿宋_GBK" w:hAnsi="方正仿宋_GBK" w:cs="方正仿宋_GBK" w:hint="eastAsia"/>
          <w:szCs w:val="32"/>
        </w:rPr>
        <w:t>应急局</w:t>
      </w:r>
      <w:proofErr w:type="gramEnd"/>
      <w:r>
        <w:rPr>
          <w:rFonts w:ascii="方正仿宋_GBK" w:eastAsia="方正仿宋_GBK" w:hAnsi="方正仿宋_GBK" w:cs="方正仿宋_GBK" w:hint="eastAsia"/>
          <w:szCs w:val="32"/>
        </w:rPr>
        <w:t>等部门组成，负责应急救援工作中的宣传报道，按规定向公众发布事故有关的信息，回答有关事故情况的询问。</w:t>
      </w:r>
    </w:p>
    <w:p w14:paraId="49F4F57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szCs w:val="32"/>
        </w:rPr>
        <w:t>（七）后勤保障组：</w:t>
      </w:r>
      <w:r>
        <w:rPr>
          <w:rFonts w:ascii="方正仿宋_GBK" w:eastAsia="方正仿宋_GBK" w:hAnsi="方正仿宋_GBK" w:cs="方正仿宋_GBK" w:hint="eastAsia"/>
          <w:color w:val="000000"/>
          <w:szCs w:val="32"/>
        </w:rPr>
        <w:t>由市指挥中心协调事发地政府</w:t>
      </w:r>
      <w:r>
        <w:rPr>
          <w:rFonts w:ascii="方正仿宋_GBK" w:eastAsia="方正仿宋_GBK" w:hAnsi="方正仿宋_GBK" w:cs="方正仿宋_GBK" w:hint="eastAsia"/>
          <w:szCs w:val="32"/>
        </w:rPr>
        <w:t>（管委会）</w:t>
      </w:r>
      <w:r>
        <w:rPr>
          <w:rFonts w:ascii="方正仿宋_GBK" w:eastAsia="方正仿宋_GBK" w:hAnsi="方正仿宋_GBK" w:cs="方正仿宋_GBK" w:hint="eastAsia"/>
          <w:color w:val="000000"/>
          <w:szCs w:val="32"/>
        </w:rPr>
        <w:t>提供饮水、饮食、住宿等生活后勤保障。</w:t>
      </w:r>
    </w:p>
    <w:p w14:paraId="55789F7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当发生特种设备特别重大、重大事故时，在国家、省统一指</w:t>
      </w:r>
      <w:r>
        <w:rPr>
          <w:rFonts w:ascii="方正仿宋_GBK" w:eastAsia="方正仿宋_GBK" w:hAnsi="方正仿宋_GBK" w:cs="方正仿宋_GBK" w:hint="eastAsia"/>
          <w:szCs w:val="32"/>
        </w:rPr>
        <w:lastRenderedPageBreak/>
        <w:t>挥部署下，做好应急处置救援工作。</w:t>
      </w:r>
    </w:p>
    <w:p w14:paraId="0F8B0AB4"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16" w:name="_Toc40892614"/>
      <w:r>
        <w:rPr>
          <w:rFonts w:ascii="方正楷体_GBK" w:eastAsia="方正楷体_GBK" w:hAnsi="方正楷体_GBK" w:cs="方正楷体_GBK" w:hint="eastAsia"/>
          <w:szCs w:val="32"/>
        </w:rPr>
        <w:t>2.4  市（区）组织指挥机构</w:t>
      </w:r>
      <w:bookmarkEnd w:id="16"/>
    </w:p>
    <w:p w14:paraId="642646C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szCs w:val="32"/>
        </w:rPr>
        <w:t>各市（区）人民政府、泰州医药高新区管委会设立相应特种设备事故应急指挥机构，在市指挥中心的领导下，负责本行政区域内一般（Ⅳ级）特种设备事故的应急响应处置工作。对需要市级层面协调处置的跨市（区）的一般特种设备安全事故，</w:t>
      </w:r>
      <w:r>
        <w:rPr>
          <w:rFonts w:ascii="方正仿宋_GBK" w:eastAsia="方正仿宋_GBK" w:hAnsi="方正仿宋_GBK" w:cs="方正仿宋_GBK" w:hint="eastAsia"/>
          <w:color w:val="000000"/>
          <w:szCs w:val="32"/>
        </w:rPr>
        <w:t>由市指挥中心协调有关市（区）人民政府、管委会应急处置。</w:t>
      </w:r>
    </w:p>
    <w:p w14:paraId="2B75FA4A"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17" w:name="_Toc40892615"/>
      <w:r>
        <w:rPr>
          <w:rFonts w:ascii="方正楷体_GBK" w:eastAsia="方正楷体_GBK" w:hAnsi="方正楷体_GBK" w:cs="方正楷体_GBK" w:hint="eastAsia"/>
          <w:szCs w:val="32"/>
        </w:rPr>
        <w:t>2.5  专家组</w:t>
      </w:r>
      <w:bookmarkEnd w:id="17"/>
    </w:p>
    <w:p w14:paraId="680FB2F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市指挥中心办公室根据特种设备事故类型和部门应急职责，组织成立事故应急管理专家组。主要职责为：参与特种设备事故应急工作、指导特种设备事故应急处置工作以及为应急决策提供技术咨询和建议。</w:t>
      </w:r>
    </w:p>
    <w:p w14:paraId="3D52600A"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18" w:name="_Toc40892616"/>
      <w:r>
        <w:rPr>
          <w:rFonts w:ascii="方正楷体_GBK" w:eastAsia="方正楷体_GBK" w:hAnsi="方正楷体_GBK" w:cs="方正楷体_GBK" w:hint="eastAsia"/>
          <w:szCs w:val="32"/>
        </w:rPr>
        <w:t>2.6  使用单位</w:t>
      </w:r>
      <w:bookmarkEnd w:id="18"/>
    </w:p>
    <w:p w14:paraId="1C3B281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使用单位应当采取预防和预警措施，健全应急机制，编制应急预案，配备应急资源，落实特种设备安全责任制和相关安全管理规定，做好事故应对工作。</w:t>
      </w:r>
    </w:p>
    <w:p w14:paraId="247DC6A2"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19" w:name="_Toc40892617"/>
      <w:r>
        <w:rPr>
          <w:rFonts w:ascii="方正黑体_GBK" w:eastAsia="方正黑体_GBK" w:hAnsi="方正黑体_GBK" w:cs="方正黑体_GBK" w:hint="eastAsia"/>
          <w:szCs w:val="32"/>
        </w:rPr>
        <w:t>3  预防与预警</w:t>
      </w:r>
      <w:bookmarkEnd w:id="19"/>
    </w:p>
    <w:p w14:paraId="083A0B3F"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20" w:name="_Toc40892618"/>
      <w:r>
        <w:rPr>
          <w:rFonts w:ascii="方正楷体_GBK" w:eastAsia="方正楷体_GBK" w:hAnsi="方正楷体_GBK" w:cs="方正楷体_GBK" w:hint="eastAsia"/>
          <w:szCs w:val="32"/>
        </w:rPr>
        <w:t>3.1  信息监测与报告</w:t>
      </w:r>
      <w:bookmarkEnd w:id="20"/>
    </w:p>
    <w:p w14:paraId="35CE33E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市、市（区）、泰州医药高新区市场</w:t>
      </w:r>
      <w:r>
        <w:rPr>
          <w:rFonts w:ascii="方正仿宋_GBK" w:eastAsia="方正仿宋_GBK" w:hAnsi="方正仿宋_GBK" w:cs="方正仿宋_GBK" w:hint="eastAsia"/>
          <w:szCs w:val="32"/>
        </w:rPr>
        <w:t>监管部门应当逐步建立完善特种设备安全监管网络及相关技术平台。以市场监管部门的安全监察机构为主体，积极发挥执法机构、检验检测机构、</w:t>
      </w:r>
      <w:r>
        <w:rPr>
          <w:rFonts w:ascii="方正仿宋_GBK" w:eastAsia="方正仿宋_GBK" w:hAnsi="方正仿宋_GBK" w:cs="方正仿宋_GBK" w:hint="eastAsia"/>
          <w:color w:val="000000"/>
          <w:szCs w:val="32"/>
        </w:rPr>
        <w:t>乡镇</w:t>
      </w:r>
      <w:r>
        <w:rPr>
          <w:rFonts w:ascii="方正仿宋_GBK" w:eastAsia="方正仿宋_GBK" w:hAnsi="方正仿宋_GBK" w:cs="方正仿宋_GBK" w:hint="eastAsia"/>
          <w:color w:val="000000"/>
          <w:szCs w:val="32"/>
        </w:rPr>
        <w:lastRenderedPageBreak/>
        <w:t>人民政府（街道办事处）、使用单位和社会力量的作用，及时掌</w:t>
      </w:r>
      <w:r>
        <w:rPr>
          <w:rFonts w:ascii="方正仿宋_GBK" w:eastAsia="方正仿宋_GBK" w:hAnsi="方正仿宋_GBK" w:cs="方正仿宋_GBK" w:hint="eastAsia"/>
          <w:szCs w:val="32"/>
        </w:rPr>
        <w:t>握特种设备安全状况，保证预警信息传递准确、便捷、高效。使用单位应当加强特种设备运行状况监测，当特种设备处于异常和事故状态时，应当立即采取有效应急措施并及时上报。</w:t>
      </w:r>
    </w:p>
    <w:p w14:paraId="42AABBE0"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21" w:name="_Toc40892619"/>
      <w:bookmarkStart w:id="22" w:name="_Hlk29384178"/>
      <w:r>
        <w:rPr>
          <w:rFonts w:ascii="方正楷体_GBK" w:eastAsia="方正楷体_GBK" w:hAnsi="方正楷体_GBK" w:cs="方正楷体_GBK" w:hint="eastAsia"/>
          <w:szCs w:val="32"/>
        </w:rPr>
        <w:t>3.2  预防措施</w:t>
      </w:r>
      <w:bookmarkEnd w:id="21"/>
    </w:p>
    <w:p w14:paraId="2AF663B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各级市场监管部门应当按照《中华人民共和国特种设备安全法》等</w:t>
      </w:r>
      <w:r>
        <w:rPr>
          <w:rFonts w:ascii="方正仿宋_GBK" w:eastAsia="方正仿宋_GBK" w:hAnsi="方正仿宋_GBK" w:cs="方正仿宋_GBK" w:hint="eastAsia"/>
          <w:color w:val="000000"/>
          <w:szCs w:val="32"/>
        </w:rPr>
        <w:t>相关规定，</w:t>
      </w:r>
      <w:r>
        <w:rPr>
          <w:rFonts w:ascii="方正仿宋_GBK" w:eastAsia="方正仿宋_GBK" w:hAnsi="方正仿宋_GBK" w:cs="方正仿宋_GBK" w:hint="eastAsia"/>
          <w:szCs w:val="32"/>
        </w:rPr>
        <w:t>严格履行特种设备安全监管职责，对重大违法行为或者严重事故隐患及时向当地人民政府（管委会）报告，并通知其他有关部门。各级人民政府、泰州医药高新区管委会应当督促有关单位及时对事故隐患进行整改。</w:t>
      </w:r>
    </w:p>
    <w:p w14:paraId="495CD13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卫生健康委、交通运输局、商务局、体育局、文化广电旅游局、住房城乡建设局、工业和信息化局等行业主管部门应当按照“管行业必须管安全”的要求，督促主管行业范围内的使用单位按照相关要求做好特种设备安全管理工作。</w:t>
      </w:r>
    </w:p>
    <w:p w14:paraId="08D3852D"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使用单位对特种设备安全</w:t>
      </w:r>
      <w:proofErr w:type="gramStart"/>
      <w:r>
        <w:rPr>
          <w:rFonts w:ascii="方正仿宋_GBK" w:eastAsia="方正仿宋_GBK" w:hAnsi="方正仿宋_GBK" w:cs="方正仿宋_GBK" w:hint="eastAsia"/>
          <w:szCs w:val="32"/>
        </w:rPr>
        <w:t>负主体</w:t>
      </w:r>
      <w:proofErr w:type="gramEnd"/>
      <w:r>
        <w:rPr>
          <w:rFonts w:ascii="方正仿宋_GBK" w:eastAsia="方正仿宋_GBK" w:hAnsi="方正仿宋_GBK" w:cs="方正仿宋_GBK" w:hint="eastAsia"/>
          <w:szCs w:val="32"/>
        </w:rPr>
        <w:t>责任。使用单位应当严格按照《中华人民共和国特种设备安全法》等相关法律法规要求做好特种设备管理工作，建立完善特种设备安全管理制度和岗位安全责任制度，设立专门机构或者明确专人负责特种设备安全工作，适时分析特种设备安全状况，制定、完善事故应急预案，使用已注册登记并检验合格的特种设备，特种设备作业人员应当持证上岗，对特种设备隐患应当及时整治。</w:t>
      </w:r>
    </w:p>
    <w:p w14:paraId="35A8C06D"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23" w:name="_Toc40892620"/>
      <w:bookmarkEnd w:id="22"/>
      <w:r>
        <w:rPr>
          <w:rFonts w:ascii="方正楷体_GBK" w:eastAsia="方正楷体_GBK" w:hAnsi="方正楷体_GBK" w:cs="方正楷体_GBK" w:hint="eastAsia"/>
          <w:szCs w:val="32"/>
        </w:rPr>
        <w:lastRenderedPageBreak/>
        <w:t>3.3  预警级别确定和发布</w:t>
      </w:r>
      <w:bookmarkEnd w:id="23"/>
    </w:p>
    <w:p w14:paraId="25EAEE7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预警信息的发布、调整及解除，按照特种设备事故隐患和可能造成的损失及社会影响，依据《江苏省突发事件预警信息发布管理办法》（苏政办发〔2013〕141号）明确的分级管理权限，决定进入预警程序。</w:t>
      </w:r>
    </w:p>
    <w:p w14:paraId="40CB0F0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3.3.1  预警分级</w:t>
      </w:r>
    </w:p>
    <w:p w14:paraId="490CDB3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事故的预警级别由高到</w:t>
      </w:r>
      <w:proofErr w:type="gramStart"/>
      <w:r>
        <w:rPr>
          <w:rFonts w:ascii="方正仿宋_GBK" w:eastAsia="方正仿宋_GBK" w:hAnsi="方正仿宋_GBK" w:cs="方正仿宋_GBK" w:hint="eastAsia"/>
          <w:szCs w:val="32"/>
        </w:rPr>
        <w:t>低分为</w:t>
      </w:r>
      <w:proofErr w:type="gramEnd"/>
      <w:r>
        <w:rPr>
          <w:rFonts w:ascii="方正仿宋_GBK" w:eastAsia="方正仿宋_GBK" w:hAnsi="方正仿宋_GBK" w:cs="方正仿宋_GBK" w:hint="eastAsia"/>
          <w:szCs w:val="32"/>
        </w:rPr>
        <w:t>Ⅰ级、Ⅱ级、Ⅲ级和Ⅳ级，分别用红色、橙色、黄色和蓝色标示。</w:t>
      </w:r>
    </w:p>
    <w:p w14:paraId="0D43562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Ⅰ级预警（红色预警）。</w:t>
      </w:r>
      <w:r>
        <w:rPr>
          <w:rFonts w:ascii="方正仿宋_GBK" w:eastAsia="方正仿宋_GBK" w:hAnsi="方正仿宋_GBK" w:cs="方正仿宋_GBK" w:hint="eastAsia"/>
          <w:szCs w:val="32"/>
        </w:rPr>
        <w:t>可能发生或者引发特种设备特别重大事故的，或者事故已经发生，可能进一步扩大影响范围，造成特别重大危害的事故。</w:t>
      </w:r>
    </w:p>
    <w:p w14:paraId="6B4CE95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Ⅱ级预警（橙色预警）。可能发生或者引发特种设备重大事故的，或者事故已经发生，可能进一步扩大影响范围，造成重大危害的事故。</w:t>
      </w:r>
    </w:p>
    <w:p w14:paraId="00A079E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Ⅲ级预警（黄色预警）。有下列情形之一的，发布Ⅲ级预警（黄色预警）：</w:t>
      </w:r>
    </w:p>
    <w:p w14:paraId="2771A84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（一）化工集中区或者临近城镇区域发生毒性程度为极度、高度危害的介质、易燃易爆介质大量泄漏的；</w:t>
      </w:r>
    </w:p>
    <w:p w14:paraId="4E50797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（二）城镇燃气主管网压力管道大量泄漏的；</w:t>
      </w:r>
    </w:p>
    <w:p w14:paraId="0050A3E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（三）机电类特种设备在核心办公区、人员密集场所或者重要公共建筑区域等地发生危及公众安全的严重故障的；</w:t>
      </w:r>
    </w:p>
    <w:p w14:paraId="30ABE89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（四）其他可能发生或者引发特种设备较大事故，或者事故已经发生，可能进一步扩大影响范围，造成较大危害事故的。</w:t>
      </w:r>
    </w:p>
    <w:p w14:paraId="4E06103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Ⅳ级预警（蓝色预警）。可能发生或者引发特种设备一般事故，或者事故已经发生，可能进一步扩大影响范围，造成公共危害的。</w:t>
      </w:r>
    </w:p>
    <w:p w14:paraId="59A8FAC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3.3.2  预警发布</w:t>
      </w:r>
    </w:p>
    <w:p w14:paraId="42A9743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Ⅰ级、Ⅱ级预警信息由市、市（区）人民政府、泰州医药高新区管委会主要负责人、特种设备事故应急指挥机构主要负责人或者本级人民政府（管委会）受委托部门（单位）的主要负责人签发。Ⅲ级、Ⅳ级预警信息由市、市（区）人民政府、泰州医药高新区管委会委托的部门（单位）的主要或分管负责人签发。</w:t>
      </w:r>
    </w:p>
    <w:p w14:paraId="79DD411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预警信息发布的内容包括事件类别、预警级别、预警起始时间、警示事项、发布机关、发布时间等。预警可以通过报纸、广播、网络（微信、</w:t>
      </w:r>
      <w:proofErr w:type="gramStart"/>
      <w:r>
        <w:rPr>
          <w:rFonts w:ascii="方正仿宋_GBK" w:eastAsia="方正仿宋_GBK" w:hAnsi="方正仿宋_GBK" w:cs="方正仿宋_GBK" w:hint="eastAsia"/>
          <w:szCs w:val="32"/>
        </w:rPr>
        <w:t>微博等</w:t>
      </w:r>
      <w:proofErr w:type="gramEnd"/>
      <w:r>
        <w:rPr>
          <w:rFonts w:ascii="方正仿宋_GBK" w:eastAsia="方正仿宋_GBK" w:hAnsi="方正仿宋_GBK" w:cs="方正仿宋_GBK" w:hint="eastAsia"/>
          <w:szCs w:val="32"/>
        </w:rPr>
        <w:t>）、电视、电话、短信等方式发布。</w:t>
      </w:r>
    </w:p>
    <w:p w14:paraId="38171601"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3.3.3  预警响应</w:t>
      </w:r>
    </w:p>
    <w:p w14:paraId="68B3E79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市场监管局作为接警单位，接受由群众、使用单位、特种设备检验检测单位、各级市场监管、公安、应急等部门通报或者报告的特种设备事故安全隐患信息，同时对接警的信息进行分析处理，提出处置建议，并报泰州市人民政府。</w:t>
      </w:r>
    </w:p>
    <w:p w14:paraId="58C7C99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事故高发季节、连续发生同类特种设备事故或者社会影响恶劣的特种设备事故的相关信息是监测和预警的重点。事故高发季</w:t>
      </w:r>
      <w:r>
        <w:rPr>
          <w:rFonts w:ascii="方正仿宋_GBK" w:eastAsia="方正仿宋_GBK" w:hAnsi="方正仿宋_GBK" w:cs="方正仿宋_GBK" w:hint="eastAsia"/>
          <w:szCs w:val="32"/>
        </w:rPr>
        <w:lastRenderedPageBreak/>
        <w:t>节应当及时发布预警信息，提出预防措施和要求，检查和督促使用单位落实各项防范措施；同一类设备连续发生同类事故或者国内发生社会影响恶劣的特种设备事故的，应当及时采取专项检查、治理等措施，举一反三，防止事故发生。</w:t>
      </w:r>
    </w:p>
    <w:p w14:paraId="038E9CB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3.3.4  调整、解除预警</w:t>
      </w:r>
    </w:p>
    <w:p w14:paraId="111F356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预警发布机构应当密切关注事件进展情况，根据事态的发展，按照有关规定适时调整预警级别并发布。</w:t>
      </w:r>
    </w:p>
    <w:p w14:paraId="754FB1B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有事实证明不可能发生事故或者危险已经解除的，应当由发布预警信息的部门、单位宣布终止预警。</w:t>
      </w:r>
    </w:p>
    <w:p w14:paraId="0D618D67"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24" w:name="_Toc40892621"/>
      <w:r>
        <w:rPr>
          <w:rFonts w:ascii="方正黑体_GBK" w:eastAsia="方正黑体_GBK" w:hAnsi="方正黑体_GBK" w:cs="方正黑体_GBK" w:hint="eastAsia"/>
          <w:szCs w:val="32"/>
        </w:rPr>
        <w:t>4  应急处置</w:t>
      </w:r>
      <w:bookmarkEnd w:id="24"/>
    </w:p>
    <w:p w14:paraId="727A6CAD"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应急响应的一般流程参见附件</w:t>
      </w:r>
      <w:bookmarkStart w:id="25" w:name="_Toc40892622"/>
      <w:r>
        <w:rPr>
          <w:rFonts w:ascii="方正仿宋_GBK" w:eastAsia="方正仿宋_GBK" w:hAnsi="方正仿宋_GBK" w:cs="方正仿宋_GBK" w:hint="eastAsia"/>
          <w:szCs w:val="32"/>
        </w:rPr>
        <w:t>3。特种设备事故应急预案政企衔接框图见附件4。</w:t>
      </w:r>
    </w:p>
    <w:p w14:paraId="5DA814E5"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4.1  信息报告</w:t>
      </w:r>
      <w:bookmarkStart w:id="26" w:name="_Hlk496100069"/>
      <w:r>
        <w:rPr>
          <w:rFonts w:ascii="方正楷体_GBK" w:eastAsia="方正楷体_GBK" w:hAnsi="方正楷体_GBK" w:cs="方正楷体_GBK" w:hint="eastAsia"/>
          <w:szCs w:val="32"/>
        </w:rPr>
        <w:t>与通报</w:t>
      </w:r>
      <w:bookmarkEnd w:id="25"/>
    </w:p>
    <w:p w14:paraId="14366C5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故发生单位的负责人接到报告后，应当于1小时内向事故发生地市（区）市场监管部门和有关部门报告；接到事故报告的市场监管部门，应当尽快核实有关情况，立即向本级人民政府或管委会报告，并逐级报告上级市场监管部门；市场监管部门每级上报的时间不得超过2小时。必要时，可以越级上报事故情况。</w:t>
      </w:r>
    </w:p>
    <w:p w14:paraId="06E6DC3D"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对事故发生地与事故发生单位所在地不在同一行政区域的，事故发生地市场监管部门应当及时通知事故发生单位所在地市场监管部门。事故发生单位所在地市场监管部门应当做好事故调</w:t>
      </w:r>
      <w:r>
        <w:rPr>
          <w:rFonts w:ascii="方正仿宋_GBK" w:eastAsia="方正仿宋_GBK" w:hAnsi="方正仿宋_GBK" w:cs="方正仿宋_GBK" w:hint="eastAsia"/>
          <w:szCs w:val="32"/>
        </w:rPr>
        <w:lastRenderedPageBreak/>
        <w:t>查处理的相关配合工作。</w:t>
      </w:r>
    </w:p>
    <w:p w14:paraId="619BBE1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报告事故应当包括以下内容：</w:t>
      </w:r>
    </w:p>
    <w:p w14:paraId="2ED85F7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（1）事故发生的时间、地点、单位概况以及特种设备种类；</w:t>
      </w:r>
    </w:p>
    <w:p w14:paraId="3DD2E2F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（2）事故发生初步情况，包括事故简要经过、现场破坏情</w:t>
      </w:r>
      <w:bookmarkEnd w:id="26"/>
      <w:r>
        <w:rPr>
          <w:rFonts w:ascii="方正仿宋_GBK" w:eastAsia="方正仿宋_GBK" w:hAnsi="方正仿宋_GBK" w:cs="方正仿宋_GBK" w:hint="eastAsia"/>
          <w:szCs w:val="32"/>
        </w:rPr>
        <w:t>况、已经造成或者可能造成的伤亡和涉险人数、初步估计的直接经济损失、初步确定的事故等级、初步判断的事故原因；</w:t>
      </w:r>
    </w:p>
    <w:p w14:paraId="5E5936C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（3）已经采取的措施；</w:t>
      </w:r>
    </w:p>
    <w:p w14:paraId="1F975A7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（4）报告人姓名、联系电话；</w:t>
      </w:r>
    </w:p>
    <w:p w14:paraId="0C766FD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（5）其他有必要报告的情况。</w:t>
      </w:r>
    </w:p>
    <w:p w14:paraId="36AD07B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特种设备事故、相关事故信息报送表见附件5。</w:t>
      </w:r>
    </w:p>
    <w:p w14:paraId="270E8A78"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27" w:name="_Toc40892623"/>
      <w:r>
        <w:rPr>
          <w:rFonts w:ascii="方正楷体_GBK" w:eastAsia="方正楷体_GBK" w:hAnsi="方正楷体_GBK" w:cs="方正楷体_GBK" w:hint="eastAsia"/>
          <w:szCs w:val="32"/>
        </w:rPr>
        <w:t>4.2  先期处置</w:t>
      </w:r>
      <w:bookmarkEnd w:id="27"/>
    </w:p>
    <w:p w14:paraId="73E2E8E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发生特种设备较大事故，事故单位应当立即启动本单位应急预案开展自救，在确保安全的前提下组织抢救遇险人员、控制危险源、封锁危险场所，杜绝盲目施救，防止事态扩大，事故单位在启动本单位预案的同时应当及时进行信息报告。</w:t>
      </w:r>
    </w:p>
    <w:p w14:paraId="630D881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市指挥中心要迅速调度力量，尽快判明事故性质和危害程度，及时采取相应的处置措施，全力控制现场事态，减少人员伤亡、财产损失和社会影响。</w:t>
      </w:r>
      <w:bookmarkStart w:id="28" w:name="_Toc40892624"/>
    </w:p>
    <w:p w14:paraId="192A873D"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29" w:name="_Toc40892625"/>
      <w:bookmarkEnd w:id="28"/>
      <w:r>
        <w:rPr>
          <w:rFonts w:ascii="方正楷体_GBK" w:eastAsia="方正楷体_GBK" w:hAnsi="方正楷体_GBK" w:cs="方正楷体_GBK" w:hint="eastAsia"/>
          <w:szCs w:val="32"/>
        </w:rPr>
        <w:t>4.3  分级响应</w:t>
      </w:r>
      <w:bookmarkEnd w:id="29"/>
    </w:p>
    <w:p w14:paraId="0F93016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发生特种设备事故后，应急响应级别按照事故级别分为Ⅰ级（特别重大）、Ⅱ级（重大）、Ⅲ级（较大）和Ⅳ级（一般）响</w:t>
      </w:r>
      <w:r>
        <w:rPr>
          <w:rFonts w:ascii="方正仿宋_GBK" w:eastAsia="方正仿宋_GBK" w:hAnsi="方正仿宋_GBK" w:cs="方正仿宋_GBK" w:hint="eastAsia"/>
          <w:szCs w:val="32"/>
        </w:rPr>
        <w:lastRenderedPageBreak/>
        <w:t>应。分级标准见本预案附件1。</w:t>
      </w:r>
    </w:p>
    <w:p w14:paraId="15AAC3BD"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Ⅰ、Ⅱ级应急响应：</w:t>
      </w:r>
      <w:r>
        <w:rPr>
          <w:rFonts w:ascii="方正仿宋_GBK" w:eastAsia="方正仿宋_GBK" w:hAnsi="方正仿宋_GBK" w:cs="方正仿宋_GBK" w:hint="eastAsia"/>
          <w:szCs w:val="32"/>
        </w:rPr>
        <w:t>发生特种设备特别重大、重大事故，市指挥中心迅速启动应急处置措施，并及时向泰州市人民政府和省特种设备重特大事故应急指挥中心报告。</w:t>
      </w:r>
    </w:p>
    <w:p w14:paraId="5323D6E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Ⅲ级应急响应：发生特种设备较大事故，</w:t>
      </w:r>
      <w:r>
        <w:rPr>
          <w:rFonts w:ascii="方正仿宋_GBK" w:eastAsia="方正仿宋_GBK" w:hAnsi="方正仿宋_GBK" w:cs="方正仿宋_GBK" w:hint="eastAsia"/>
          <w:color w:val="000000"/>
          <w:szCs w:val="32"/>
        </w:rPr>
        <w:t>市指挥中心启动应急程序并及时向</w:t>
      </w:r>
      <w:r>
        <w:rPr>
          <w:rFonts w:ascii="方正仿宋_GBK" w:eastAsia="方正仿宋_GBK" w:hAnsi="方正仿宋_GBK" w:cs="方正仿宋_GBK" w:hint="eastAsia"/>
          <w:szCs w:val="32"/>
        </w:rPr>
        <w:t>泰州市人民政府</w:t>
      </w:r>
      <w:r>
        <w:rPr>
          <w:rFonts w:ascii="方正仿宋_GBK" w:eastAsia="方正仿宋_GBK" w:hAnsi="方正仿宋_GBK" w:cs="方正仿宋_GBK" w:hint="eastAsia"/>
          <w:color w:val="000000"/>
          <w:szCs w:val="32"/>
        </w:rPr>
        <w:t>和省市场监管局报告；市</w:t>
      </w:r>
      <w:r>
        <w:rPr>
          <w:rFonts w:ascii="方正仿宋_GBK" w:eastAsia="方正仿宋_GBK" w:hAnsi="方正仿宋_GBK" w:cs="方正仿宋_GBK" w:hint="eastAsia"/>
          <w:szCs w:val="32"/>
        </w:rPr>
        <w:t>指挥中心办公室立即通知市指挥中心成员单位赶赴事故现场开展应急救援。</w:t>
      </w:r>
    </w:p>
    <w:p w14:paraId="20F8C41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Ⅳ级应急响应：发生一般事故，由事发地政府（管委会）指挥中心立即组织实施应急救援，并向市指挥中心报告。市指挥中心进入预备状态，预防事故升级，做好应急准备。市指挥中心根据事故情况，向事发地政府或管委会以及事故发生单位提出应急救援的指导意见，并向泰州市人民政府和省市场监管局报告。</w:t>
      </w:r>
    </w:p>
    <w:p w14:paraId="0288AF6F"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30" w:name="_Toc40892627"/>
      <w:bookmarkStart w:id="31" w:name="_Hlk23408883"/>
      <w:r>
        <w:rPr>
          <w:rFonts w:ascii="方正楷体_GBK" w:eastAsia="方正楷体_GBK" w:hAnsi="方正楷体_GBK" w:cs="方正楷体_GBK" w:hint="eastAsia"/>
          <w:szCs w:val="32"/>
        </w:rPr>
        <w:t>4.4  应急处置</w:t>
      </w:r>
    </w:p>
    <w:p w14:paraId="50BEE47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color w:val="000000"/>
          <w:szCs w:val="32"/>
        </w:rPr>
      </w:pPr>
      <w:r>
        <w:rPr>
          <w:rFonts w:ascii="方正仿宋_GBK" w:eastAsia="方正仿宋_GBK" w:hAnsi="方正仿宋_GBK" w:cs="方正仿宋_GBK" w:hint="eastAsia"/>
          <w:color w:val="000000"/>
          <w:szCs w:val="32"/>
        </w:rPr>
        <w:t>Ⅰ级、Ⅱ级应急处置在国家、省应急指挥机构的统一领导下做好应急处置工作；</w:t>
      </w:r>
      <w:r>
        <w:rPr>
          <w:rFonts w:ascii="方正仿宋_GBK" w:eastAsia="方正仿宋_GBK" w:hAnsi="方正仿宋_GBK" w:cs="方正仿宋_GBK" w:hint="eastAsia"/>
          <w:szCs w:val="32"/>
        </w:rPr>
        <w:t>Ⅲ级由市指挥中心负责处置；Ⅳ级由各市（区）、泰州医药高新区指挥中心负责处置。</w:t>
      </w:r>
    </w:p>
    <w:p w14:paraId="464F19A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在上一级应急指挥领导机构到达之前，按照属地管理原则，事发地人民政府（管委会）应当启动应急处置程序，进入相应状态，依照规定采取应急处理措施。</w:t>
      </w:r>
    </w:p>
    <w:p w14:paraId="6397C82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（1）封锁事故现场。严禁一切无关人员、车辆和物品进入</w:t>
      </w:r>
      <w:r>
        <w:rPr>
          <w:rFonts w:ascii="方正仿宋_GBK" w:eastAsia="方正仿宋_GBK" w:hAnsi="方正仿宋_GBK" w:cs="方正仿宋_GBK" w:hint="eastAsia"/>
          <w:szCs w:val="32"/>
        </w:rPr>
        <w:lastRenderedPageBreak/>
        <w:t>事故危险区域。开辟应急救援人员、车辆及物资进入的安全通道，维持事故现场的社会治安和交通秩序。</w:t>
      </w:r>
    </w:p>
    <w:p w14:paraId="50E73C24"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（2）建立现场工作区域。根据事故的危害、天气条件（特别是风向）等因素，设立现场抢险救援的安全工作区域。</w:t>
      </w:r>
    </w:p>
    <w:p w14:paraId="51FB0A1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（3）抢救受害人员。及时、科学、有序开展受害人员抢救或安全转移，尽最大可能减少人员伤亡和财产损失。</w:t>
      </w:r>
    </w:p>
    <w:p w14:paraId="26BF0C7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（4）设立人员疏散区。根据事故的类别、规模和危害程度，迅速划定危险波及范围和区域，组织相关人员和物资安全撤离危险区域。</w:t>
      </w:r>
    </w:p>
    <w:p w14:paraId="0A4E119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5）承压和机电类特种设备的专业处置。在实施承压类特种设备现场应急时，应当迅速开展危险物质浓度监测，采取可行的处置措施阻断泄漏，进行洗消操作，防止中毒、窒息，做好防爆和灭火工作，并及时收集产生的污染物；在实施机电类特种设备现场应急时，应当控制事故设备，做好人员安抚，尽快救助受伤或者被困人员。危险区域处置人员均应当穿戴必要的防护装备，情况复杂时应当结合专家意见制定可行的现场处置方案，防止事故扩大和次生灾害发生。</w:t>
      </w:r>
    </w:p>
    <w:p w14:paraId="700597F5"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32" w:name="_Toc40892630"/>
      <w:bookmarkStart w:id="33" w:name="_Hlk23408899"/>
      <w:bookmarkEnd w:id="30"/>
      <w:bookmarkEnd w:id="31"/>
      <w:r>
        <w:rPr>
          <w:rFonts w:ascii="方正楷体_GBK" w:eastAsia="方正楷体_GBK" w:hAnsi="方正楷体_GBK" w:cs="方正楷体_GBK" w:hint="eastAsia"/>
          <w:szCs w:val="32"/>
        </w:rPr>
        <w:t>4.5  信息发布</w:t>
      </w:r>
      <w:bookmarkStart w:id="34" w:name="_Hlk496101464"/>
      <w:bookmarkEnd w:id="32"/>
    </w:p>
    <w:bookmarkEnd w:id="33"/>
    <w:bookmarkEnd w:id="34"/>
    <w:p w14:paraId="21A3847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发生特种设备较大事故时，市委宣传部负责对新闻媒体报道实施管理、协调和指导。市现场指挥部根据灾害事故影响程度和类型，按照有关规定和程序，拟写新闻稿，按照规定程序送审后</w:t>
      </w:r>
      <w:r>
        <w:rPr>
          <w:rFonts w:ascii="方正仿宋_GBK" w:eastAsia="方正仿宋_GBK" w:hAnsi="方正仿宋_GBK" w:cs="方正仿宋_GBK" w:hint="eastAsia"/>
          <w:szCs w:val="32"/>
        </w:rPr>
        <w:lastRenderedPageBreak/>
        <w:t>发布。</w:t>
      </w:r>
    </w:p>
    <w:p w14:paraId="191EC49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充分运用广播、电视、报刊、政府网站、政府公报等形式，向社会公开或者通报特种设备事故信息，方便群众及时获得信息，保障公民享有知情权，并有效引导舆情。必要时，召开新闻发布会，通报有关情况。</w:t>
      </w:r>
      <w:bookmarkStart w:id="35" w:name="_Hlk496101513"/>
    </w:p>
    <w:p w14:paraId="4C68C77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涉及香港、澳门、台湾地区人员或者外国公民，或者可能影响到境外的事件，需要向有关国家、地区、国际机构通报的，按照有关规定执行。</w:t>
      </w:r>
      <w:bookmarkEnd w:id="35"/>
    </w:p>
    <w:p w14:paraId="6ABA2987"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4.6  应急结束</w:t>
      </w:r>
    </w:p>
    <w:p w14:paraId="02D80A7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具备下列全部条件时，市现场指挥部报请市指挥中心批准后，宣布解除灾情、终止应急状态，转入正常工作：</w:t>
      </w:r>
    </w:p>
    <w:p w14:paraId="3515683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（1）死亡和失踪人员已经查清；</w:t>
      </w:r>
    </w:p>
    <w:p w14:paraId="114B032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（2）事故危害基本得以控制；</w:t>
      </w:r>
    </w:p>
    <w:p w14:paraId="05C500D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（3）</w:t>
      </w:r>
      <w:proofErr w:type="gramStart"/>
      <w:r>
        <w:rPr>
          <w:rFonts w:ascii="方正仿宋_GBK" w:eastAsia="方正仿宋_GBK" w:hAnsi="方正仿宋_GBK" w:cs="方正仿宋_GBK" w:hint="eastAsia"/>
          <w:szCs w:val="32"/>
        </w:rPr>
        <w:t>次生事故</w:t>
      </w:r>
      <w:proofErr w:type="gramEnd"/>
      <w:r>
        <w:rPr>
          <w:rFonts w:ascii="方正仿宋_GBK" w:eastAsia="方正仿宋_GBK" w:hAnsi="方正仿宋_GBK" w:cs="方正仿宋_GBK" w:hint="eastAsia"/>
          <w:szCs w:val="32"/>
        </w:rPr>
        <w:t>因素基本消除；</w:t>
      </w:r>
    </w:p>
    <w:p w14:paraId="71BDA30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（4）受伤人员基本得到救治；</w:t>
      </w:r>
    </w:p>
    <w:p w14:paraId="132501F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（5）紧急疏散人员基本恢复正常生活秩序。</w:t>
      </w:r>
    </w:p>
    <w:p w14:paraId="0DCA1FDA"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36" w:name="_Toc40892632"/>
      <w:r>
        <w:rPr>
          <w:rFonts w:ascii="方正黑体_GBK" w:eastAsia="方正黑体_GBK" w:hAnsi="方正黑体_GBK" w:cs="方正黑体_GBK" w:hint="eastAsia"/>
          <w:szCs w:val="32"/>
        </w:rPr>
        <w:t>5  后期处置</w:t>
      </w:r>
      <w:bookmarkEnd w:id="36"/>
    </w:p>
    <w:p w14:paraId="1E34B8FA"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37" w:name="_Toc40892633"/>
      <w:r>
        <w:rPr>
          <w:rFonts w:ascii="方正楷体_GBK" w:eastAsia="方正楷体_GBK" w:hAnsi="方正楷体_GBK" w:cs="方正楷体_GBK" w:hint="eastAsia"/>
          <w:szCs w:val="32"/>
        </w:rPr>
        <w:t>5.1  善后处置</w:t>
      </w:r>
      <w:bookmarkEnd w:id="37"/>
    </w:p>
    <w:p w14:paraId="67A90CE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特种设备事故的善后处置工作，在市指挥中心的领导下，由事发地政府（管委会）和事故发生单位共同负责组织实施。善后处置主要包括人员安置及补偿、征用物资补偿、灾后重建、污染</w:t>
      </w:r>
      <w:r>
        <w:rPr>
          <w:rFonts w:ascii="方正仿宋_GBK" w:eastAsia="方正仿宋_GBK" w:hAnsi="方正仿宋_GBK" w:cs="方正仿宋_GBK" w:hint="eastAsia"/>
          <w:szCs w:val="32"/>
        </w:rPr>
        <w:lastRenderedPageBreak/>
        <w:t>物收集、清理与处理等事项。善后处置责任部门（单位）应当尽快消除事故影响，做好遇难者及其家属的善后处理、受伤人员的医疗救助，妥善安置和</w:t>
      </w:r>
      <w:proofErr w:type="gramStart"/>
      <w:r>
        <w:rPr>
          <w:rFonts w:ascii="方正仿宋_GBK" w:eastAsia="方正仿宋_GBK" w:hAnsi="方正仿宋_GBK" w:cs="方正仿宋_GBK" w:hint="eastAsia"/>
          <w:szCs w:val="32"/>
        </w:rPr>
        <w:t>慰问受</w:t>
      </w:r>
      <w:proofErr w:type="gramEnd"/>
      <w:r>
        <w:rPr>
          <w:rFonts w:ascii="方正仿宋_GBK" w:eastAsia="方正仿宋_GBK" w:hAnsi="方正仿宋_GBK" w:cs="方正仿宋_GBK" w:hint="eastAsia"/>
          <w:szCs w:val="32"/>
        </w:rPr>
        <w:t>影响群众，保证社会稳定，尽快恢复正常生活生产秩序。对受害、伤亡人员及家属的抚恤、理赔、补偿按照有关规定执行。</w:t>
      </w:r>
    </w:p>
    <w:p w14:paraId="5B621CEA"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38" w:name="_Toc40892634"/>
      <w:r>
        <w:rPr>
          <w:rFonts w:ascii="方正楷体_GBK" w:eastAsia="方正楷体_GBK" w:hAnsi="方正楷体_GBK" w:cs="方正楷体_GBK" w:hint="eastAsia"/>
          <w:szCs w:val="32"/>
        </w:rPr>
        <w:t>5.2  社会救助</w:t>
      </w:r>
    </w:p>
    <w:p w14:paraId="5DFC3305"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事发地政府（管委会）视情况组织动员本行政区域社会力量参与救助工作，必要时报请市政府及市指挥中心组织动员相关社会力量参与救助工作。</w:t>
      </w:r>
    </w:p>
    <w:p w14:paraId="2F3E23E1"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5.3  事故调查</w:t>
      </w:r>
    </w:p>
    <w:p w14:paraId="7DF3392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事故调查应当严格按照《中华人民共和国特种设备安全法》《特种设备安全监察条例》《特种设备事故报告和调查处理规定》《特种设备事故报告和调查处理导则》等法律、法规和有关规定实施。</w:t>
      </w:r>
    </w:p>
    <w:p w14:paraId="76E40213"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39" w:name="_Toc40892636"/>
      <w:bookmarkEnd w:id="38"/>
      <w:r>
        <w:rPr>
          <w:rFonts w:ascii="方正楷体_GBK" w:eastAsia="方正楷体_GBK" w:hAnsi="方正楷体_GBK" w:cs="方正楷体_GBK" w:hint="eastAsia"/>
          <w:szCs w:val="32"/>
        </w:rPr>
        <w:t>5.4  总结评估</w:t>
      </w:r>
      <w:bookmarkEnd w:id="39"/>
    </w:p>
    <w:p w14:paraId="2430979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应急处置工作结束后，市指挥中心及事发地政府（管委会）应当及时总结分析，提出改进工作的建议。</w:t>
      </w:r>
    </w:p>
    <w:p w14:paraId="7734BCCB"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40" w:name="_Toc40892637"/>
      <w:r>
        <w:rPr>
          <w:rFonts w:ascii="方正黑体_GBK" w:eastAsia="方正黑体_GBK" w:hAnsi="方正黑体_GBK" w:cs="方正黑体_GBK" w:hint="eastAsia"/>
          <w:szCs w:val="32"/>
        </w:rPr>
        <w:t>6  保障措施</w:t>
      </w:r>
      <w:bookmarkEnd w:id="40"/>
    </w:p>
    <w:p w14:paraId="3D3BAD62"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1" w:name="_Toc40892638"/>
      <w:r>
        <w:rPr>
          <w:rFonts w:ascii="方正楷体_GBK" w:eastAsia="方正楷体_GBK" w:hAnsi="方正楷体_GBK" w:cs="方正楷体_GBK" w:hint="eastAsia"/>
          <w:szCs w:val="32"/>
        </w:rPr>
        <w:t>6.1  应急队伍保障</w:t>
      </w:r>
      <w:bookmarkEnd w:id="41"/>
    </w:p>
    <w:p w14:paraId="3577695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事故单位应当建立先期处置队伍和力量。公安机关、消防救援机构是特种设备安全事故应急救援工作的主要力量。市指挥中</w:t>
      </w:r>
      <w:r>
        <w:rPr>
          <w:rFonts w:ascii="方正仿宋_GBK" w:eastAsia="方正仿宋_GBK" w:hAnsi="方正仿宋_GBK" w:cs="方正仿宋_GBK" w:hint="eastAsia"/>
          <w:szCs w:val="32"/>
        </w:rPr>
        <w:lastRenderedPageBreak/>
        <w:t>心加强对各联动单位应急救援力量的组织协调和指导，保障应急工作的有效进行。必要时，按照规定程序</w:t>
      </w:r>
      <w:proofErr w:type="gramStart"/>
      <w:r>
        <w:rPr>
          <w:rFonts w:ascii="方正仿宋_GBK" w:eastAsia="方正仿宋_GBK" w:hAnsi="方正仿宋_GBK" w:cs="方正仿宋_GBK" w:hint="eastAsia"/>
          <w:szCs w:val="32"/>
        </w:rPr>
        <w:t>请求驻</w:t>
      </w:r>
      <w:proofErr w:type="gramEnd"/>
      <w:r>
        <w:rPr>
          <w:rFonts w:ascii="方正仿宋_GBK" w:eastAsia="方正仿宋_GBK" w:hAnsi="方正仿宋_GBK" w:cs="方正仿宋_GBK" w:hint="eastAsia"/>
          <w:szCs w:val="32"/>
        </w:rPr>
        <w:t>泰部队、武警部队参与和支持抢险工作。</w:t>
      </w:r>
    </w:p>
    <w:p w14:paraId="4110CED3"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2" w:name="_Toc40892639"/>
      <w:r>
        <w:rPr>
          <w:rFonts w:ascii="方正楷体_GBK" w:eastAsia="方正楷体_GBK" w:hAnsi="方正楷体_GBK" w:cs="方正楷体_GBK" w:hint="eastAsia"/>
          <w:szCs w:val="32"/>
        </w:rPr>
        <w:t>6.2  资金经费保障</w:t>
      </w:r>
      <w:bookmarkEnd w:id="42"/>
    </w:p>
    <w:p w14:paraId="3CDB528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各级财政部门按照“分级负担”的原则，负责安排本级特种设备事故处置工作所需的经费，确保及时足额到位，并对经费使用情况实施监督。使用单位应当做好事故应急演练和救援的必要资金准备。</w:t>
      </w:r>
    </w:p>
    <w:p w14:paraId="44FA4276"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3" w:name="_Toc40892640"/>
      <w:r>
        <w:rPr>
          <w:rFonts w:ascii="方正楷体_GBK" w:eastAsia="方正楷体_GBK" w:hAnsi="方正楷体_GBK" w:cs="方正楷体_GBK" w:hint="eastAsia"/>
          <w:szCs w:val="32"/>
        </w:rPr>
        <w:t>6.3  装备物资保障</w:t>
      </w:r>
      <w:bookmarkEnd w:id="43"/>
    </w:p>
    <w:p w14:paraId="4FD489E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市市场监管局负责符合特种设备应急救援条件的指挥车辆及其内设装备的更新、补充和完善，并保持其随时可用；配备适量的专用防护仪器（如防爆相机、防爆对讲机、防爆照明等）和防护用品。</w:t>
      </w:r>
    </w:p>
    <w:p w14:paraId="27BB1F0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市、各市（区）</w:t>
      </w:r>
      <w:r>
        <w:rPr>
          <w:rFonts w:ascii="方正仿宋_GBK" w:eastAsia="方正仿宋_GBK" w:hAnsi="方正仿宋_GBK" w:cs="方正仿宋_GBK" w:hint="eastAsia"/>
          <w:szCs w:val="32"/>
        </w:rPr>
        <w:t>人民政府和泰州医药高新区管委会应当建立应急物资、生活必需品和应急处置装备的储备制度。使用单位应当建立应急物资、设施、设备等储备制度，储备必要的应急物资和装备。</w:t>
      </w:r>
    </w:p>
    <w:p w14:paraId="50A1837D"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4" w:name="_Toc40892641"/>
      <w:r>
        <w:rPr>
          <w:rFonts w:ascii="方正楷体_GBK" w:eastAsia="方正楷体_GBK" w:hAnsi="方正楷体_GBK" w:cs="方正楷体_GBK" w:hint="eastAsia"/>
          <w:szCs w:val="32"/>
        </w:rPr>
        <w:t>6.4  医疗卫生保障</w:t>
      </w:r>
      <w:bookmarkEnd w:id="44"/>
    </w:p>
    <w:p w14:paraId="5F3E449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市、各市（区）人</w:t>
      </w:r>
      <w:r>
        <w:rPr>
          <w:rFonts w:ascii="方正仿宋_GBK" w:eastAsia="方正仿宋_GBK" w:hAnsi="方正仿宋_GBK" w:cs="方正仿宋_GBK" w:hint="eastAsia"/>
          <w:szCs w:val="32"/>
        </w:rPr>
        <w:t>民政府和泰州医药高新区管委会应当加强急救医疗服务网络建设，配备相应的医疗救治人员、设备、技术、药物等，掌握本行政区域内医疗卫生资源信息，提高医疗卫生机</w:t>
      </w:r>
      <w:r>
        <w:rPr>
          <w:rFonts w:ascii="方正仿宋_GBK" w:eastAsia="方正仿宋_GBK" w:hAnsi="方正仿宋_GBK" w:cs="方正仿宋_GBK" w:hint="eastAsia"/>
          <w:szCs w:val="32"/>
        </w:rPr>
        <w:lastRenderedPageBreak/>
        <w:t>构对事故伤员的救治能力。</w:t>
      </w:r>
    </w:p>
    <w:p w14:paraId="72DA9AE3"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5" w:name="_Toc40892642"/>
      <w:r>
        <w:rPr>
          <w:rFonts w:ascii="方正楷体_GBK" w:eastAsia="方正楷体_GBK" w:hAnsi="方正楷体_GBK" w:cs="方正楷体_GBK" w:hint="eastAsia"/>
          <w:szCs w:val="32"/>
        </w:rPr>
        <w:t>6.5  交通运输保障</w:t>
      </w:r>
      <w:bookmarkEnd w:id="45"/>
    </w:p>
    <w:p w14:paraId="4774F99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市交通运输局负责组织与实施紧急事故处置的交通保障。公安机关根据需要实施道路交通管制。泰州海事局负责指挥其</w:t>
      </w:r>
      <w:r>
        <w:rPr>
          <w:rFonts w:ascii="方正仿宋_GBK" w:eastAsia="方正仿宋_GBK" w:hAnsi="方正仿宋_GBK" w:cs="方正仿宋_GBK" w:hint="eastAsia"/>
          <w:color w:val="000000"/>
          <w:szCs w:val="32"/>
        </w:rPr>
        <w:t>管辖区域内水域紧急交通管制。事发地政府（管委会）协助做</w:t>
      </w:r>
      <w:r>
        <w:rPr>
          <w:rFonts w:ascii="方正仿宋_GBK" w:eastAsia="方正仿宋_GBK" w:hAnsi="方正仿宋_GBK" w:cs="方正仿宋_GBK" w:hint="eastAsia"/>
          <w:szCs w:val="32"/>
        </w:rPr>
        <w:t>好紧急交通保障工作。</w:t>
      </w:r>
    </w:p>
    <w:p w14:paraId="6D97EAE6"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6" w:name="_Toc40892643"/>
      <w:r>
        <w:rPr>
          <w:rFonts w:ascii="方正楷体_GBK" w:eastAsia="方正楷体_GBK" w:hAnsi="方正楷体_GBK" w:cs="方正楷体_GBK" w:hint="eastAsia"/>
          <w:szCs w:val="32"/>
        </w:rPr>
        <w:t>6.6  社会治安保障</w:t>
      </w:r>
      <w:bookmarkEnd w:id="46"/>
    </w:p>
    <w:p w14:paraId="781B599C"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公安机关负责应急处置工作中的治安维护，接到事故报警后，应当迅速派出警力赶赴现场，设立警戒区，维护治安和交通秩序，加强对重点部位、重点目标和救灾物资的守护，及时发现和严惩扰乱滋事等违法犯罪活动。</w:t>
      </w:r>
    </w:p>
    <w:p w14:paraId="4C49B0C7"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7" w:name="_Toc40892644"/>
      <w:r>
        <w:rPr>
          <w:rFonts w:ascii="方正楷体_GBK" w:eastAsia="方正楷体_GBK" w:hAnsi="方正楷体_GBK" w:cs="方正楷体_GBK" w:hint="eastAsia"/>
          <w:szCs w:val="32"/>
        </w:rPr>
        <w:t>6.7  信息通信保障</w:t>
      </w:r>
      <w:bookmarkEnd w:id="47"/>
    </w:p>
    <w:p w14:paraId="420FACE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泰州通信行业管理办公室负责组织、协调、指挥市内</w:t>
      </w:r>
      <w:proofErr w:type="gramStart"/>
      <w:r>
        <w:rPr>
          <w:rFonts w:ascii="方正仿宋_GBK" w:eastAsia="方正仿宋_GBK" w:hAnsi="方正仿宋_GBK" w:cs="方正仿宋_GBK" w:hint="eastAsia"/>
          <w:szCs w:val="32"/>
        </w:rPr>
        <w:t>各基础</w:t>
      </w:r>
      <w:proofErr w:type="gramEnd"/>
      <w:r>
        <w:rPr>
          <w:rFonts w:ascii="方正仿宋_GBK" w:eastAsia="方正仿宋_GBK" w:hAnsi="方正仿宋_GBK" w:cs="方正仿宋_GBK" w:hint="eastAsia"/>
          <w:szCs w:val="32"/>
        </w:rPr>
        <w:t>电信运营企业，为处置特种设备事故提供公众通信网应急通信保障，及时修复损坏的通信设施。</w:t>
      </w:r>
    </w:p>
    <w:p w14:paraId="6E69790D"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8" w:name="_Toc40892645"/>
      <w:r>
        <w:rPr>
          <w:rFonts w:ascii="方正楷体_GBK" w:eastAsia="方正楷体_GBK" w:hAnsi="方正楷体_GBK" w:cs="方正楷体_GBK" w:hint="eastAsia"/>
          <w:szCs w:val="32"/>
        </w:rPr>
        <w:t>6.8  技术支持保障</w:t>
      </w:r>
      <w:bookmarkEnd w:id="48"/>
    </w:p>
    <w:p w14:paraId="5F55E51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指挥中心办公室组织建立特种设备事故专家库，完善特种设备安全监察平台应急信息数据；充分发挥科研院所、技术单位应急专业技术的研发能力，开发新技术和新装备；研究特种设备应急工作新情况、新问题，为应急工作提供技术支持和保障。</w:t>
      </w:r>
    </w:p>
    <w:p w14:paraId="7D4205C1"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49" w:name="_Toc40892646"/>
      <w:r>
        <w:rPr>
          <w:rFonts w:ascii="方正楷体_GBK" w:eastAsia="方正楷体_GBK" w:hAnsi="方正楷体_GBK" w:cs="方正楷体_GBK" w:hint="eastAsia"/>
          <w:szCs w:val="32"/>
        </w:rPr>
        <w:t>6.9  人员防护保障</w:t>
      </w:r>
      <w:bookmarkEnd w:id="49"/>
    </w:p>
    <w:p w14:paraId="68E3C6F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特种设备事故应急处置人员应当制定科学、安全的抢险技术方案，配置相应装备，防止砸伤、压伤、灼伤、烫伤、中毒、窒息等危险，在市现场指挥部的指令下进出事故现场。群众的防护、避险疏散由事发地政府（管委会）负责。</w:t>
      </w:r>
      <w:bookmarkStart w:id="50" w:name="_Toc40892647"/>
    </w:p>
    <w:p w14:paraId="05556D6B"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6.10  生活保障</w:t>
      </w:r>
    </w:p>
    <w:p w14:paraId="39535A5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特种设备事故中转移人员和应急人员饮食及其他生活必需品，由事发地政府（管委会）和事故单位保障。</w:t>
      </w:r>
    </w:p>
    <w:p w14:paraId="4DBEA057"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6.11  社会动员</w:t>
      </w:r>
      <w:bookmarkEnd w:id="50"/>
      <w:r>
        <w:rPr>
          <w:rFonts w:ascii="方正楷体_GBK" w:eastAsia="方正楷体_GBK" w:hAnsi="方正楷体_GBK" w:cs="方正楷体_GBK" w:hint="eastAsia"/>
          <w:szCs w:val="32"/>
        </w:rPr>
        <w:t>保障</w:t>
      </w:r>
    </w:p>
    <w:p w14:paraId="2519FB6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在确保安全的前提下，市现场指挥部可调动本行政区域社会力量和志愿者配合应急工作。任何单位和个人有义务依法参与、支持、配合事故应急工作并提供便利条件。</w:t>
      </w:r>
    </w:p>
    <w:p w14:paraId="70CF6BEC"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51" w:name="_Toc40892648"/>
      <w:r>
        <w:rPr>
          <w:rFonts w:ascii="方正黑体_GBK" w:eastAsia="方正黑体_GBK" w:hAnsi="方正黑体_GBK" w:cs="方正黑体_GBK" w:hint="eastAsia"/>
          <w:szCs w:val="32"/>
        </w:rPr>
        <w:t xml:space="preserve">7  </w:t>
      </w:r>
      <w:bookmarkEnd w:id="51"/>
      <w:r>
        <w:rPr>
          <w:rFonts w:ascii="方正黑体_GBK" w:eastAsia="方正黑体_GBK" w:hAnsi="方正黑体_GBK" w:cs="方正黑体_GBK" w:hint="eastAsia"/>
          <w:szCs w:val="32"/>
        </w:rPr>
        <w:t>宣传、培训、演练和监督管理</w:t>
      </w:r>
    </w:p>
    <w:p w14:paraId="606C2914"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52" w:name="_Toc40892649"/>
      <w:r>
        <w:rPr>
          <w:rFonts w:ascii="方正楷体_GBK" w:eastAsia="方正楷体_GBK" w:hAnsi="方正楷体_GBK" w:cs="方正楷体_GBK" w:hint="eastAsia"/>
          <w:szCs w:val="32"/>
        </w:rPr>
        <w:t xml:space="preserve">7.1  </w:t>
      </w:r>
      <w:bookmarkEnd w:id="52"/>
      <w:r>
        <w:rPr>
          <w:rFonts w:ascii="方正楷体_GBK" w:eastAsia="方正楷体_GBK" w:hAnsi="方正楷体_GBK" w:cs="方正楷体_GBK" w:hint="eastAsia"/>
          <w:szCs w:val="32"/>
        </w:rPr>
        <w:t>宣传</w:t>
      </w:r>
    </w:p>
    <w:p w14:paraId="3070D74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通过新闻媒体，广泛宣传特种设备事故的预防、避险、避灾、自救、互救等科学知识和应急规范，及时公布报警电话。使用单位按照相关规定做好特种设备应急知识宣传。</w:t>
      </w:r>
    </w:p>
    <w:p w14:paraId="73FFB806"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7.2  培训</w:t>
      </w:r>
    </w:p>
    <w:p w14:paraId="3443BA56"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加强对有关职能部门、使用单位和专业抢险救援队伍的应急培训，提高应急救援队伍的综合素质。</w:t>
      </w:r>
    </w:p>
    <w:p w14:paraId="25504E55"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7.3  演练</w:t>
      </w:r>
    </w:p>
    <w:p w14:paraId="14D9EB99"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市指挥中心办公室组织或者督促有关单位定期开展应急救</w:t>
      </w:r>
      <w:r>
        <w:rPr>
          <w:rFonts w:ascii="方正仿宋_GBK" w:eastAsia="方正仿宋_GBK" w:hAnsi="方正仿宋_GBK" w:cs="方正仿宋_GBK" w:hint="eastAsia"/>
          <w:szCs w:val="32"/>
        </w:rPr>
        <w:lastRenderedPageBreak/>
        <w:t>援演练。专项应急预案至少每2年进行一次应急演练。</w:t>
      </w:r>
    </w:p>
    <w:p w14:paraId="07300276"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7.4  预案管理与更新</w:t>
      </w:r>
    </w:p>
    <w:p w14:paraId="57DB0CFB"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市市场监管局负责本预案的编制、解释和日常管理，并根据情况变化及时修改完善。</w:t>
      </w:r>
    </w:p>
    <w:p w14:paraId="098DE828"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7.5  责任与奖惩</w:t>
      </w:r>
    </w:p>
    <w:p w14:paraId="240FFA62"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应急救援工作结束后，市指挥中心及事发地政府（管委会）应当组织相关部门和单位认真进行总结、分析，吸取事故的教训，及时进行整改。对在</w:t>
      </w:r>
      <w:r>
        <w:rPr>
          <w:rFonts w:ascii="方正仿宋_GBK" w:eastAsia="方正仿宋_GBK" w:hAnsi="方正仿宋_GBK" w:cs="方正仿宋_GBK" w:hint="eastAsia"/>
          <w:color w:val="000000"/>
          <w:szCs w:val="32"/>
        </w:rPr>
        <w:t>应急处置过程中</w:t>
      </w:r>
      <w:r>
        <w:rPr>
          <w:rFonts w:ascii="方正仿宋_GBK" w:eastAsia="方正仿宋_GBK" w:hAnsi="方正仿宋_GBK" w:cs="方正仿宋_GBK" w:hint="eastAsia"/>
          <w:szCs w:val="32"/>
        </w:rPr>
        <w:t>有突出贡献的单位和个人，按照有关规定，给予表彰和奖励。对瞒报、迟报、漏报、谎报、误报，</w:t>
      </w:r>
      <w:r>
        <w:rPr>
          <w:rFonts w:ascii="方正仿宋_GBK" w:eastAsia="方正仿宋_GBK" w:hAnsi="方正仿宋_GBK" w:cs="方正仿宋_GBK" w:hint="eastAsia"/>
          <w:color w:val="000000"/>
          <w:szCs w:val="32"/>
        </w:rPr>
        <w:t>在事故中玩忽职守、不听从指挥、不履行职责或者临阵脱逃、擅离职守，以及扰乱、妨碍抢险救援工作的人员，按照有关规定，追究有关单位和人员责任；</w:t>
      </w:r>
      <w:r>
        <w:rPr>
          <w:rFonts w:ascii="方正仿宋_GBK" w:eastAsia="方正仿宋_GBK" w:hAnsi="方正仿宋_GBK" w:cs="方正仿宋_GBK" w:hint="eastAsia"/>
          <w:szCs w:val="32"/>
        </w:rPr>
        <w:t>构成犯罪的，依法追究刑事责任。</w:t>
      </w:r>
    </w:p>
    <w:p w14:paraId="14054FC1" w14:textId="77777777" w:rsidR="00960062" w:rsidRDefault="00960062" w:rsidP="00960062">
      <w:pPr>
        <w:overflowPunct w:val="0"/>
        <w:autoSpaceDE/>
        <w:autoSpaceDN/>
        <w:adjustRightInd w:val="0"/>
        <w:spacing w:line="600" w:lineRule="exact"/>
        <w:ind w:firstLineChars="200" w:firstLine="640"/>
        <w:rPr>
          <w:rFonts w:ascii="方正黑体_GBK" w:eastAsia="方正黑体_GBK" w:hAnsi="方正黑体_GBK" w:cs="方正黑体_GBK"/>
          <w:szCs w:val="32"/>
        </w:rPr>
      </w:pPr>
      <w:bookmarkStart w:id="53" w:name="_Toc40892652"/>
      <w:r>
        <w:rPr>
          <w:rFonts w:ascii="方正黑体_GBK" w:eastAsia="方正黑体_GBK" w:hAnsi="方正黑体_GBK" w:cs="方正黑体_GBK" w:hint="eastAsia"/>
          <w:szCs w:val="32"/>
        </w:rPr>
        <w:t>8  附则</w:t>
      </w:r>
      <w:bookmarkEnd w:id="53"/>
    </w:p>
    <w:p w14:paraId="2AD163E6"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54" w:name="_Toc40892653"/>
      <w:r>
        <w:rPr>
          <w:rFonts w:ascii="方正楷体_GBK" w:eastAsia="方正楷体_GBK" w:hAnsi="方正楷体_GBK" w:cs="方正楷体_GBK" w:hint="eastAsia"/>
          <w:szCs w:val="32"/>
        </w:rPr>
        <w:t>8.1  名词术语解释</w:t>
      </w:r>
      <w:bookmarkEnd w:id="54"/>
    </w:p>
    <w:p w14:paraId="3DF23EA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color w:val="000000"/>
          <w:szCs w:val="32"/>
        </w:rPr>
        <w:t>（一）特种设备，是指</w:t>
      </w:r>
      <w:r>
        <w:rPr>
          <w:rFonts w:ascii="方正仿宋_GBK" w:eastAsia="方正仿宋_GBK" w:hAnsi="方正仿宋_GBK" w:cs="方正仿宋_GBK" w:hint="eastAsia"/>
          <w:szCs w:val="32"/>
        </w:rPr>
        <w:t>对人身和财产安全有较大危险性的锅炉、压力容器（含气瓶）、压力管道、电梯、起重机械、客运索道、大型游乐设施，场（厂）内专用机动车辆以及法律、行政法规规定适用《中华人民共和国特种设备安全法》的其他特种设备。</w:t>
      </w:r>
    </w:p>
    <w:p w14:paraId="115A6D2E"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（二）特种设备事故，是指因特种设备的不安全状态或者相关人员的不安全行为，在特种设备制造、安装、改造、维修、使</w:t>
      </w:r>
      <w:r>
        <w:rPr>
          <w:rFonts w:ascii="方正仿宋_GBK" w:eastAsia="方正仿宋_GBK" w:hAnsi="方正仿宋_GBK" w:cs="方正仿宋_GBK" w:hint="eastAsia"/>
          <w:szCs w:val="32"/>
        </w:rPr>
        <w:lastRenderedPageBreak/>
        <w:t>用（含移动式压力容器、气瓶充装）、检验检测活动中造成的人员伤亡、财产损失、特种设备严重损坏或者中断运行、人员滞留、人员转移等突发事件。</w:t>
      </w:r>
    </w:p>
    <w:p w14:paraId="551B2F6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（三）其他特种设备事故术语及含义参见《中华人民共和国特种设备安全法》《特种设备目录》及相关法规标准。</w:t>
      </w:r>
    </w:p>
    <w:p w14:paraId="0EF5D337" w14:textId="77777777" w:rsidR="00960062" w:rsidRDefault="00960062" w:rsidP="00960062">
      <w:pPr>
        <w:overflowPunct w:val="0"/>
        <w:autoSpaceDE/>
        <w:autoSpaceDN/>
        <w:adjustRightInd w:val="0"/>
        <w:spacing w:line="600" w:lineRule="exact"/>
        <w:ind w:firstLineChars="200" w:firstLine="640"/>
        <w:rPr>
          <w:rFonts w:ascii="方正楷体_GBK" w:eastAsia="方正楷体_GBK" w:hAnsi="方正楷体_GBK" w:cs="方正楷体_GBK"/>
          <w:szCs w:val="32"/>
        </w:rPr>
      </w:pPr>
      <w:bookmarkStart w:id="55" w:name="_Toc40892656"/>
      <w:r>
        <w:rPr>
          <w:rFonts w:ascii="方正楷体_GBK" w:eastAsia="方正楷体_GBK" w:hAnsi="方正楷体_GBK" w:cs="方正楷体_GBK" w:hint="eastAsia"/>
          <w:szCs w:val="32"/>
        </w:rPr>
        <w:t>8.2  预案实施</w:t>
      </w:r>
      <w:bookmarkEnd w:id="55"/>
    </w:p>
    <w:p w14:paraId="07B4AE30"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本预案自发布之日起</w:t>
      </w:r>
      <w:r>
        <w:rPr>
          <w:rFonts w:ascii="方正仿宋_GBK" w:eastAsia="方正仿宋_GBK" w:hAnsi="方正仿宋_GBK" w:cs="方正仿宋_GBK" w:hint="eastAsia"/>
          <w:color w:val="000000"/>
          <w:szCs w:val="32"/>
        </w:rPr>
        <w:t>施行。</w:t>
      </w:r>
    </w:p>
    <w:p w14:paraId="398B2CAC" w14:textId="77777777" w:rsidR="00960062" w:rsidRDefault="00960062" w:rsidP="00960062">
      <w:pPr>
        <w:overflowPunct w:val="0"/>
        <w:autoSpaceDE/>
        <w:autoSpaceDN/>
        <w:spacing w:line="600" w:lineRule="exact"/>
        <w:ind w:firstLineChars="200" w:firstLine="640"/>
        <w:rPr>
          <w:rFonts w:ascii="方正仿宋_GBK" w:eastAsia="方正仿宋_GBK" w:hAnsi="方正仿宋_GBK" w:cs="方正仿宋_GBK"/>
          <w:szCs w:val="32"/>
        </w:rPr>
      </w:pPr>
    </w:p>
    <w:p w14:paraId="2B3D9608"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附件：1．事故分级</w:t>
      </w:r>
    </w:p>
    <w:p w14:paraId="74B178AF"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      2．应急组织体系图</w:t>
      </w:r>
    </w:p>
    <w:p w14:paraId="576FD23A"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      3．泰州市特种设备事故应急响应流程图</w:t>
      </w:r>
    </w:p>
    <w:p w14:paraId="77E0D043"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      4．特种设备事故应急预案政企衔接框图</w:t>
      </w:r>
    </w:p>
    <w:p w14:paraId="06A28857" w14:textId="77777777" w:rsidR="00960062" w:rsidRDefault="00960062" w:rsidP="00960062">
      <w:pPr>
        <w:overflowPunct w:val="0"/>
        <w:autoSpaceDE/>
        <w:autoSpaceDN/>
        <w:adjustRightInd w:val="0"/>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      5．特种设备事故、相关事故信息报送表</w:t>
      </w:r>
    </w:p>
    <w:p w14:paraId="24551799" w14:textId="77777777" w:rsidR="00960062" w:rsidRDefault="00960062" w:rsidP="00960062">
      <w:pPr>
        <w:tabs>
          <w:tab w:val="left" w:pos="737"/>
        </w:tabs>
        <w:jc w:val="left"/>
        <w:rPr>
          <w:rFonts w:ascii="方正小标宋_GBK" w:eastAsia="方正小标宋_GBK"/>
          <w:w w:val="90"/>
          <w:sz w:val="44"/>
          <w:szCs w:val="44"/>
        </w:rPr>
      </w:pPr>
      <w:r>
        <w:rPr>
          <w:rFonts w:hint="eastAsia"/>
        </w:rPr>
        <w:tab/>
      </w:r>
    </w:p>
    <w:bookmarkEnd w:id="0"/>
    <w:bookmarkEnd w:id="1"/>
    <w:p w14:paraId="6F76FF94" w14:textId="77777777" w:rsidR="00960062" w:rsidRDefault="00960062" w:rsidP="00960062">
      <w:pPr>
        <w:ind w:firstLine="0"/>
        <w:rPr>
          <w:rFonts w:ascii="方正黑体_GBK" w:eastAsia="方正黑体_GBK" w:hAnsi="方正黑体_GBK" w:cs="方正黑体_GBK"/>
        </w:rPr>
      </w:pPr>
      <w:r>
        <w:rPr>
          <w:rFonts w:ascii="方正仿宋_GBK" w:eastAsia="方正仿宋_GBK" w:hAnsi="方正仿宋_GBK" w:cs="方正仿宋_GBK" w:hint="eastAsia"/>
          <w:sz w:val="28"/>
          <w:szCs w:val="28"/>
        </w:rPr>
        <w:br w:type="page"/>
      </w:r>
      <w:r>
        <w:rPr>
          <w:rFonts w:ascii="方正黑体_GBK" w:eastAsia="方正黑体_GBK" w:hAnsi="方正黑体_GBK" w:cs="方正黑体_GBK" w:hint="eastAsia"/>
        </w:rPr>
        <w:lastRenderedPageBreak/>
        <w:t>附件1</w:t>
      </w:r>
    </w:p>
    <w:p w14:paraId="4337B70B" w14:textId="77777777" w:rsidR="00960062" w:rsidRDefault="00960062" w:rsidP="00960062">
      <w:pPr>
        <w:widowControl/>
        <w:adjustRightInd w:val="0"/>
        <w:spacing w:line="560" w:lineRule="exact"/>
        <w:ind w:firstLine="0"/>
        <w:jc w:val="center"/>
        <w:rPr>
          <w:rFonts w:eastAsia="方正小标宋_GBK"/>
          <w:w w:val="90"/>
          <w:sz w:val="44"/>
          <w:szCs w:val="44"/>
        </w:rPr>
      </w:pPr>
      <w:bookmarkStart w:id="56" w:name="_Toc40892658"/>
      <w:r>
        <w:rPr>
          <w:rFonts w:eastAsia="方正小标宋_GBK"/>
          <w:w w:val="90"/>
          <w:sz w:val="44"/>
          <w:szCs w:val="44"/>
        </w:rPr>
        <w:t>事故分级</w:t>
      </w:r>
      <w:bookmarkEnd w:id="56"/>
    </w:p>
    <w:p w14:paraId="4B75F896" w14:textId="77777777" w:rsidR="00960062" w:rsidRDefault="00960062" w:rsidP="00960062">
      <w:pPr>
        <w:topLinePunct/>
        <w:adjustRightInd w:val="0"/>
        <w:spacing w:line="560" w:lineRule="exact"/>
        <w:ind w:firstLineChars="200" w:firstLine="640"/>
        <w:rPr>
          <w:rFonts w:eastAsia="方正仿宋_GBK"/>
          <w:szCs w:val="32"/>
        </w:rPr>
      </w:pPr>
    </w:p>
    <w:p w14:paraId="07CE794C" w14:textId="77777777" w:rsidR="00960062" w:rsidRDefault="00960062" w:rsidP="00960062">
      <w:pPr>
        <w:overflowPunct w:val="0"/>
        <w:autoSpaceDE/>
        <w:autoSpaceDN/>
        <w:adjustRightInd w:val="0"/>
        <w:spacing w:line="58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根据《特种设备安全监察条例》，将特种设备事故分为Ⅰ级（特别重大）、Ⅱ级（重大）、Ⅲ级（较大）、Ⅳ级（一般）四级。</w:t>
      </w:r>
    </w:p>
    <w:p w14:paraId="1710142E" w14:textId="77777777" w:rsidR="00960062" w:rsidRDefault="00960062" w:rsidP="00960062">
      <w:pPr>
        <w:overflowPunct w:val="0"/>
        <w:autoSpaceDE/>
        <w:autoSpaceDN/>
        <w:adjustRightInd w:val="0"/>
        <w:spacing w:line="580" w:lineRule="exact"/>
        <w:ind w:firstLineChars="200" w:firstLine="640"/>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（一）有下列情形之一的，为特别重大事故（Ⅰ级）</w:t>
      </w:r>
    </w:p>
    <w:p w14:paraId="5EE2EBB2" w14:textId="77777777" w:rsidR="00960062" w:rsidRDefault="00960062" w:rsidP="00960062">
      <w:pPr>
        <w:overflowPunct w:val="0"/>
        <w:autoSpaceDE/>
        <w:autoSpaceDN/>
        <w:adjustRightInd w:val="0"/>
        <w:spacing w:line="58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特种设备事故造成30人以上死亡，或者100人以上重伤（包括急性工业中毒，下同），或者1亿元以上直接经济损失的；（2）600兆瓦以上锅炉爆炸的；（3）压力容器、压力管道有毒介质泄漏，造成15万人以上转移的；（4）客运索道、大型游乐设施高空滞留100人以上并且时间在48小时以上的。</w:t>
      </w:r>
    </w:p>
    <w:p w14:paraId="4278F457" w14:textId="77777777" w:rsidR="00960062" w:rsidRDefault="00960062" w:rsidP="00960062">
      <w:pPr>
        <w:overflowPunct w:val="0"/>
        <w:autoSpaceDE/>
        <w:autoSpaceDN/>
        <w:adjustRightInd w:val="0"/>
        <w:spacing w:line="580" w:lineRule="exact"/>
        <w:ind w:firstLineChars="200" w:firstLine="640"/>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（二）有下列情形之一的，为重大事故（Ⅱ级）</w:t>
      </w:r>
    </w:p>
    <w:p w14:paraId="35427DEE" w14:textId="77777777" w:rsidR="00960062" w:rsidRDefault="00960062" w:rsidP="00960062">
      <w:pPr>
        <w:overflowPunct w:val="0"/>
        <w:autoSpaceDE/>
        <w:autoSpaceDN/>
        <w:adjustRightInd w:val="0"/>
        <w:spacing w:line="58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特种设备事故造成10人以上30人以下死亡，或者50人以上100人以下重伤，或者5000万元以上1亿元以下直接经济损失的；（2）600兆瓦以上锅炉因安全故障中断运行240小时以上的；压力容器、压力管道有毒介质泄漏，造成5万人以上15万人以下转移的；（3）客运索道、大型游乐设施高空滞留100人以上并且时间在24小时以上48小时以下的。</w:t>
      </w:r>
    </w:p>
    <w:p w14:paraId="52E5E282" w14:textId="77777777" w:rsidR="00960062" w:rsidRDefault="00960062" w:rsidP="00960062">
      <w:pPr>
        <w:overflowPunct w:val="0"/>
        <w:autoSpaceDE/>
        <w:autoSpaceDN/>
        <w:adjustRightInd w:val="0"/>
        <w:spacing w:line="580" w:lineRule="exact"/>
        <w:ind w:firstLineChars="200" w:firstLine="640"/>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（三）有下列情形之一的，为较大事故（Ⅲ级）</w:t>
      </w:r>
    </w:p>
    <w:p w14:paraId="582F8744" w14:textId="77777777" w:rsidR="00960062" w:rsidRDefault="00960062" w:rsidP="00960062">
      <w:pPr>
        <w:overflowPunct w:val="0"/>
        <w:autoSpaceDE/>
        <w:autoSpaceDN/>
        <w:adjustRightInd w:val="0"/>
        <w:spacing w:line="58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（1）特种设备事故造成3人以上10人以下死亡，或者10人以上50人以下重伤，或者1000万元以上5000万元以下直接</w:t>
      </w:r>
      <w:r>
        <w:rPr>
          <w:rFonts w:ascii="方正仿宋_GBK" w:eastAsia="方正仿宋_GBK" w:hAnsi="方正仿宋_GBK" w:cs="方正仿宋_GBK" w:hint="eastAsia"/>
          <w:szCs w:val="32"/>
        </w:rPr>
        <w:lastRenderedPageBreak/>
        <w:t>经济损失的；（2）锅炉、压力容器、压力管道爆炸的；（3）压力容器、压力管道有毒介质泄漏，造成1万人以上5万人以下转移的；（4）起重机械整体倾覆的；（5）客运索道、大型游乐设施高空滞留人员12小时以上的。</w:t>
      </w:r>
    </w:p>
    <w:p w14:paraId="32652714" w14:textId="77777777" w:rsidR="00960062" w:rsidRDefault="00960062" w:rsidP="00960062">
      <w:pPr>
        <w:overflowPunct w:val="0"/>
        <w:autoSpaceDE/>
        <w:autoSpaceDN/>
        <w:adjustRightInd w:val="0"/>
        <w:spacing w:line="580" w:lineRule="exact"/>
        <w:ind w:firstLineChars="200" w:firstLine="640"/>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（四）有下列情形之一的，为一般事故（Ⅳ级）</w:t>
      </w:r>
    </w:p>
    <w:p w14:paraId="6D98E8E7" w14:textId="77777777" w:rsidR="00960062" w:rsidRDefault="00960062" w:rsidP="00960062">
      <w:pPr>
        <w:overflowPunct w:val="0"/>
        <w:autoSpaceDE/>
        <w:autoSpaceDN/>
        <w:adjustRightInd w:val="0"/>
        <w:spacing w:line="58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1）特种设备事故造成3人以下死亡，或者10人以下重伤，或者1万元以上1000万元以下直接经济损失的；（2）压力容器、压力管道有毒介质泄漏，造成500人以上1万人以下转移的；（3）电梯轿厢滞留人员2小时以上的；（4）起重机械主要受力结构件折断或者起</w:t>
      </w:r>
      <w:proofErr w:type="gramStart"/>
      <w:r>
        <w:rPr>
          <w:rFonts w:ascii="方正仿宋_GBK" w:eastAsia="方正仿宋_GBK" w:hAnsi="方正仿宋_GBK" w:cs="方正仿宋_GBK" w:hint="eastAsia"/>
          <w:szCs w:val="32"/>
        </w:rPr>
        <w:t>升机构</w:t>
      </w:r>
      <w:proofErr w:type="gramEnd"/>
      <w:r>
        <w:rPr>
          <w:rFonts w:ascii="方正仿宋_GBK" w:eastAsia="方正仿宋_GBK" w:hAnsi="方正仿宋_GBK" w:cs="方正仿宋_GBK" w:hint="eastAsia"/>
          <w:szCs w:val="32"/>
        </w:rPr>
        <w:t>坠落的；（5）客运索道高空滞留人员3.5小时以上12小时以下的；（6）大型游乐设施高空滞留人员1小时以上12小时以下的安全事故。</w:t>
      </w:r>
    </w:p>
    <w:p w14:paraId="1E2BE06E" w14:textId="77777777" w:rsidR="00960062" w:rsidRDefault="00960062" w:rsidP="00960062">
      <w:pPr>
        <w:overflowPunct w:val="0"/>
        <w:autoSpaceDE/>
        <w:autoSpaceDN/>
        <w:adjustRightInd w:val="0"/>
        <w:spacing w:line="58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以上有关数量的表述中，“以上”包含</w:t>
      </w:r>
      <w:bookmarkStart w:id="57" w:name="_Toc40892659"/>
      <w:proofErr w:type="gramStart"/>
      <w:r>
        <w:rPr>
          <w:rFonts w:ascii="方正仿宋_GBK" w:eastAsia="方正仿宋_GBK" w:hAnsi="方正仿宋_GBK" w:cs="方正仿宋_GBK" w:hint="eastAsia"/>
          <w:szCs w:val="32"/>
        </w:rPr>
        <w:t>含</w:t>
      </w:r>
      <w:proofErr w:type="gramEnd"/>
      <w:r>
        <w:rPr>
          <w:rFonts w:ascii="方正仿宋_GBK" w:eastAsia="方正仿宋_GBK" w:hAnsi="方正仿宋_GBK" w:cs="方正仿宋_GBK" w:hint="eastAsia"/>
          <w:szCs w:val="32"/>
        </w:rPr>
        <w:t>本数，“以下”不含本数。</w:t>
      </w:r>
    </w:p>
    <w:p w14:paraId="144D8ED7" w14:textId="77777777" w:rsidR="00960062" w:rsidRDefault="00960062" w:rsidP="00960062">
      <w:pPr>
        <w:topLinePunct/>
        <w:spacing w:line="300" w:lineRule="auto"/>
        <w:ind w:firstLineChars="200" w:firstLine="640"/>
        <w:rPr>
          <w:rFonts w:eastAsia="方正仿宋_GBK"/>
          <w:szCs w:val="32"/>
        </w:rPr>
      </w:pPr>
    </w:p>
    <w:p w14:paraId="7E6D8E64" w14:textId="77777777" w:rsidR="00960062" w:rsidRDefault="00960062" w:rsidP="00960062">
      <w:pPr>
        <w:topLinePunct/>
        <w:spacing w:line="300" w:lineRule="auto"/>
        <w:ind w:firstLineChars="200" w:firstLine="640"/>
        <w:rPr>
          <w:rFonts w:eastAsia="方正仿宋_GBK"/>
          <w:szCs w:val="32"/>
        </w:rPr>
      </w:pPr>
    </w:p>
    <w:p w14:paraId="4BFC8CB0" w14:textId="77777777" w:rsidR="00960062" w:rsidRDefault="00960062" w:rsidP="00960062">
      <w:pPr>
        <w:topLinePunct/>
        <w:spacing w:line="300" w:lineRule="auto"/>
        <w:ind w:firstLineChars="200" w:firstLine="640"/>
        <w:rPr>
          <w:rFonts w:eastAsia="方正仿宋_GBK"/>
          <w:szCs w:val="32"/>
        </w:rPr>
      </w:pPr>
    </w:p>
    <w:p w14:paraId="32AE073E" w14:textId="77777777" w:rsidR="00960062" w:rsidRDefault="00960062" w:rsidP="00960062">
      <w:pPr>
        <w:topLinePunct/>
        <w:spacing w:line="300" w:lineRule="auto"/>
        <w:ind w:firstLineChars="200" w:firstLine="640"/>
        <w:rPr>
          <w:rFonts w:eastAsia="方正仿宋_GBK"/>
          <w:szCs w:val="32"/>
        </w:rPr>
      </w:pPr>
    </w:p>
    <w:p w14:paraId="59589E0E" w14:textId="77777777" w:rsidR="00960062" w:rsidRDefault="00960062" w:rsidP="00960062">
      <w:pPr>
        <w:topLinePunct/>
        <w:spacing w:line="300" w:lineRule="auto"/>
        <w:ind w:firstLineChars="200" w:firstLine="640"/>
        <w:rPr>
          <w:rFonts w:eastAsia="方正仿宋_GBK"/>
          <w:szCs w:val="32"/>
        </w:rPr>
      </w:pPr>
    </w:p>
    <w:p w14:paraId="37B45255" w14:textId="77777777" w:rsidR="00960062" w:rsidRDefault="00960062" w:rsidP="00960062">
      <w:pPr>
        <w:topLinePunct/>
        <w:spacing w:line="300" w:lineRule="auto"/>
        <w:ind w:firstLineChars="200" w:firstLine="640"/>
        <w:rPr>
          <w:rFonts w:eastAsia="方正仿宋_GBK"/>
          <w:szCs w:val="32"/>
        </w:rPr>
      </w:pPr>
    </w:p>
    <w:p w14:paraId="1BC75927" w14:textId="77777777" w:rsidR="00960062" w:rsidRDefault="00960062" w:rsidP="00960062">
      <w:pPr>
        <w:topLinePunct/>
        <w:spacing w:line="300" w:lineRule="auto"/>
        <w:ind w:firstLineChars="200" w:firstLine="640"/>
        <w:rPr>
          <w:rFonts w:eastAsia="方正仿宋_GBK"/>
          <w:szCs w:val="32"/>
        </w:rPr>
      </w:pPr>
    </w:p>
    <w:p w14:paraId="49B3F194" w14:textId="77777777" w:rsidR="00960062" w:rsidRDefault="00960062" w:rsidP="00960062">
      <w:pPr>
        <w:topLinePunct/>
        <w:spacing w:line="300" w:lineRule="auto"/>
        <w:ind w:firstLineChars="200" w:firstLine="640"/>
        <w:rPr>
          <w:rFonts w:eastAsia="方正仿宋_GBK"/>
          <w:szCs w:val="32"/>
        </w:rPr>
      </w:pPr>
    </w:p>
    <w:p w14:paraId="17478E63" w14:textId="77777777" w:rsidR="00960062" w:rsidRDefault="00960062" w:rsidP="00960062">
      <w:pPr>
        <w:topLinePunct/>
        <w:spacing w:line="300" w:lineRule="auto"/>
        <w:ind w:firstLineChars="200" w:firstLine="640"/>
        <w:rPr>
          <w:rFonts w:eastAsia="方正仿宋_GBK"/>
          <w:szCs w:val="32"/>
        </w:rPr>
      </w:pPr>
    </w:p>
    <w:p w14:paraId="2F2E3AB7" w14:textId="77777777" w:rsidR="00960062" w:rsidRDefault="00960062" w:rsidP="00960062">
      <w:pPr>
        <w:widowControl/>
        <w:adjustRightInd w:val="0"/>
        <w:spacing w:line="560" w:lineRule="exact"/>
        <w:ind w:firstLine="0"/>
        <w:jc w:val="left"/>
        <w:rPr>
          <w:rFonts w:ascii="方正黑体_GBK" w:eastAsia="方正黑体_GBK" w:hAnsi="方正黑体_GBK" w:cs="方正黑体_GBK"/>
        </w:rPr>
      </w:pPr>
      <w:r>
        <w:rPr>
          <w:rFonts w:ascii="方正黑体_GBK" w:eastAsia="方正黑体_GBK" w:hAnsi="方正黑体_GBK" w:cs="方正黑体_GBK" w:hint="eastAsia"/>
        </w:rPr>
        <w:lastRenderedPageBreak/>
        <w:t>附件2</w:t>
      </w:r>
    </w:p>
    <w:p w14:paraId="1B8F54A7" w14:textId="77777777" w:rsidR="00960062" w:rsidRDefault="00960062" w:rsidP="00960062">
      <w:pPr>
        <w:widowControl/>
        <w:adjustRightInd w:val="0"/>
        <w:spacing w:line="560" w:lineRule="exact"/>
        <w:ind w:firstLine="0"/>
        <w:jc w:val="center"/>
        <w:rPr>
          <w:rFonts w:eastAsia="方正小标宋_GBK"/>
          <w:w w:val="90"/>
          <w:sz w:val="44"/>
          <w:szCs w:val="44"/>
        </w:rPr>
      </w:pPr>
      <w:r>
        <w:rPr>
          <w:rFonts w:eastAsia="方正小标宋_GBK"/>
          <w:w w:val="90"/>
          <w:sz w:val="44"/>
          <w:szCs w:val="44"/>
        </w:rPr>
        <w:t>应急组织体系图</w:t>
      </w:r>
      <w:bookmarkEnd w:id="57"/>
    </w:p>
    <w:p w14:paraId="64AF39CC" w14:textId="77777777" w:rsidR="00960062" w:rsidRDefault="00960062" w:rsidP="00960062">
      <w:pPr>
        <w:pStyle w:val="a0"/>
      </w:pPr>
    </w:p>
    <w:p w14:paraId="31492A9E" w14:textId="77777777" w:rsidR="00960062" w:rsidRDefault="00960062" w:rsidP="00960062">
      <w:pPr>
        <w:ind w:firstLine="0"/>
        <w:rPr>
          <w:rFonts w:ascii="方正黑体_GBK" w:eastAsia="方正黑体_GBK" w:hAnsi="方正黑体_GBK" w:cs="方正黑体_GBK"/>
        </w:rPr>
      </w:pPr>
      <w:r>
        <w:rPr>
          <w:rFonts w:hint="eastAsia"/>
          <w:noProof/>
          <w:snapToGrid/>
        </w:rPr>
        <w:drawing>
          <wp:inline distT="0" distB="0" distL="0" distR="0" wp14:anchorId="75EE0B26" wp14:editId="482EAE3C">
            <wp:extent cx="5537200" cy="3257550"/>
            <wp:effectExtent l="0" t="0" r="0" b="0"/>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7200" cy="3257550"/>
                    </a:xfrm>
                    <a:prstGeom prst="rect">
                      <a:avLst/>
                    </a:prstGeom>
                    <a:noFill/>
                    <a:ln>
                      <a:noFill/>
                    </a:ln>
                  </pic:spPr>
                </pic:pic>
              </a:graphicData>
            </a:graphic>
          </wp:inline>
        </w:drawing>
      </w:r>
      <w:r>
        <w:rPr>
          <w:rFonts w:hint="eastAsia"/>
        </w:rPr>
        <w:br w:type="page"/>
      </w:r>
      <w:r>
        <w:rPr>
          <w:rFonts w:ascii="方正黑体_GBK" w:eastAsia="方正黑体_GBK" w:hAnsi="方正黑体_GBK" w:cs="方正黑体_GBK" w:hint="eastAsia"/>
        </w:rPr>
        <w:lastRenderedPageBreak/>
        <w:t>附件3</w:t>
      </w:r>
    </w:p>
    <w:p w14:paraId="5EF4AB44" w14:textId="77777777" w:rsidR="00960062" w:rsidRDefault="00960062" w:rsidP="00960062">
      <w:pPr>
        <w:widowControl/>
        <w:adjustRightInd w:val="0"/>
        <w:spacing w:line="560" w:lineRule="exact"/>
        <w:ind w:firstLine="0"/>
        <w:jc w:val="center"/>
        <w:rPr>
          <w:rFonts w:eastAsia="方正小标宋_GBK"/>
          <w:w w:val="90"/>
          <w:sz w:val="44"/>
          <w:szCs w:val="44"/>
        </w:rPr>
      </w:pPr>
      <w:r>
        <w:rPr>
          <w:rFonts w:eastAsia="方正小标宋_GBK"/>
          <w:w w:val="90"/>
          <w:sz w:val="44"/>
          <w:szCs w:val="44"/>
        </w:rPr>
        <w:t>泰州市特种设备事故应急响应流程图</w:t>
      </w:r>
    </w:p>
    <w:p w14:paraId="6B5B2E8F" w14:textId="77777777" w:rsidR="00960062" w:rsidRDefault="00960062" w:rsidP="00960062">
      <w:pPr>
        <w:pStyle w:val="a0"/>
      </w:pPr>
    </w:p>
    <w:p w14:paraId="24162281" w14:textId="77777777" w:rsidR="00960062" w:rsidRDefault="00960062" w:rsidP="00960062">
      <w:pPr>
        <w:ind w:firstLine="0"/>
        <w:rPr>
          <w:rFonts w:ascii="方正黑体_GBK" w:eastAsia="方正黑体_GBK" w:hAnsi="方正黑体_GBK" w:cs="方正黑体_GBK"/>
        </w:rPr>
      </w:pPr>
      <w:r>
        <w:rPr>
          <w:rFonts w:hint="eastAsia"/>
          <w:noProof/>
          <w:snapToGrid/>
        </w:rPr>
        <w:drawing>
          <wp:inline distT="0" distB="0" distL="0" distR="0" wp14:anchorId="41DF1055" wp14:editId="2582733C">
            <wp:extent cx="5537200" cy="6953250"/>
            <wp:effectExtent l="0" t="0" r="0" b="0"/>
            <wp:docPr id="1" name="图片 6"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图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7200" cy="6953250"/>
                    </a:xfrm>
                    <a:prstGeom prst="rect">
                      <a:avLst/>
                    </a:prstGeom>
                    <a:noFill/>
                    <a:ln>
                      <a:noFill/>
                    </a:ln>
                  </pic:spPr>
                </pic:pic>
              </a:graphicData>
            </a:graphic>
          </wp:inline>
        </w:drawing>
      </w:r>
      <w:r>
        <w:rPr>
          <w:rFonts w:hint="eastAsia"/>
        </w:rPr>
        <w:br w:type="page"/>
      </w:r>
      <w:r>
        <w:rPr>
          <w:rFonts w:ascii="方正黑体_GBK" w:eastAsia="方正黑体_GBK" w:hAnsi="方正黑体_GBK" w:cs="方正黑体_GBK" w:hint="eastAsia"/>
        </w:rPr>
        <w:lastRenderedPageBreak/>
        <w:t>附件4</w:t>
      </w:r>
    </w:p>
    <w:p w14:paraId="003680C4" w14:textId="77777777" w:rsidR="00960062" w:rsidRDefault="00960062" w:rsidP="00960062">
      <w:pPr>
        <w:widowControl/>
        <w:adjustRightInd w:val="0"/>
        <w:spacing w:line="560" w:lineRule="exact"/>
        <w:ind w:firstLine="0"/>
        <w:jc w:val="center"/>
        <w:rPr>
          <w:rFonts w:eastAsia="方正小标宋_GBK"/>
          <w:w w:val="90"/>
          <w:sz w:val="44"/>
          <w:szCs w:val="44"/>
        </w:rPr>
      </w:pPr>
      <w:bookmarkStart w:id="58" w:name="_Toc40892662"/>
      <w:r>
        <w:rPr>
          <w:rFonts w:eastAsia="方正小标宋_GBK"/>
          <w:w w:val="90"/>
          <w:sz w:val="44"/>
          <w:szCs w:val="44"/>
        </w:rPr>
        <w:t>特种设备事故应急预案政企衔接框图</w:t>
      </w:r>
      <w:bookmarkEnd w:id="58"/>
    </w:p>
    <w:p w14:paraId="45F680C5" w14:textId="77777777" w:rsidR="00960062" w:rsidRDefault="00960062" w:rsidP="00960062">
      <w:pPr>
        <w:pStyle w:val="a0"/>
      </w:pPr>
    </w:p>
    <w:p w14:paraId="1CB6EDCC" w14:textId="77777777" w:rsidR="00960062" w:rsidRDefault="00960062" w:rsidP="00960062">
      <w:pPr>
        <w:ind w:firstLine="0"/>
        <w:rPr>
          <w:rFonts w:ascii="方正黑体_GBK" w:eastAsia="方正黑体_GBK" w:hAnsi="方正黑体_GBK" w:cs="方正黑体_GBK"/>
        </w:rPr>
      </w:pPr>
      <w:r>
        <w:rPr>
          <w:rFonts w:hint="eastAsia"/>
          <w:noProof/>
          <w:snapToGrid/>
        </w:rPr>
        <w:drawing>
          <wp:inline distT="0" distB="0" distL="0" distR="0" wp14:anchorId="188B7CEC" wp14:editId="3A441F16">
            <wp:extent cx="5467350" cy="6229350"/>
            <wp:effectExtent l="0" t="0" r="0" b="0"/>
            <wp:docPr id="3" name="图片 7"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图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6229350"/>
                    </a:xfrm>
                    <a:prstGeom prst="rect">
                      <a:avLst/>
                    </a:prstGeom>
                    <a:noFill/>
                    <a:ln>
                      <a:noFill/>
                    </a:ln>
                  </pic:spPr>
                </pic:pic>
              </a:graphicData>
            </a:graphic>
          </wp:inline>
        </w:drawing>
      </w:r>
      <w:r>
        <w:rPr>
          <w:rFonts w:hint="eastAsia"/>
        </w:rPr>
        <w:br w:type="page"/>
      </w:r>
      <w:bookmarkStart w:id="59" w:name="_Toc40892663"/>
      <w:r>
        <w:rPr>
          <w:rFonts w:ascii="方正黑体_GBK" w:eastAsia="方正黑体_GBK" w:hAnsi="方正黑体_GBK" w:cs="方正黑体_GBK" w:hint="eastAsia"/>
        </w:rPr>
        <w:lastRenderedPageBreak/>
        <w:t xml:space="preserve">附件5 </w:t>
      </w:r>
    </w:p>
    <w:p w14:paraId="30CD6003" w14:textId="77777777" w:rsidR="00960062" w:rsidRDefault="00960062" w:rsidP="00960062">
      <w:pPr>
        <w:widowControl/>
        <w:adjustRightInd w:val="0"/>
        <w:spacing w:beforeLines="50" w:before="120" w:afterLines="50" w:after="120" w:line="560" w:lineRule="exact"/>
        <w:ind w:firstLine="0"/>
        <w:jc w:val="center"/>
        <w:rPr>
          <w:rFonts w:eastAsia="方正小标宋_GBK"/>
          <w:w w:val="90"/>
          <w:sz w:val="44"/>
          <w:szCs w:val="44"/>
        </w:rPr>
      </w:pPr>
      <w:r>
        <w:rPr>
          <w:rFonts w:eastAsia="方正小标宋_GBK"/>
          <w:w w:val="90"/>
          <w:sz w:val="44"/>
          <w:szCs w:val="44"/>
        </w:rPr>
        <w:t>特种设备事故、相关事故信息报送表</w:t>
      </w:r>
      <w:bookmarkEnd w:id="59"/>
    </w:p>
    <w:tbl>
      <w:tblPr>
        <w:tblpPr w:leftFromText="180" w:rightFromText="180" w:vertAnchor="text" w:horzAnchor="page" w:tblpX="1537" w:tblpY="5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344"/>
        <w:gridCol w:w="1087"/>
        <w:gridCol w:w="1259"/>
        <w:gridCol w:w="2176"/>
      </w:tblGrid>
      <w:tr w:rsidR="00960062" w14:paraId="750C6A91" w14:textId="77777777" w:rsidTr="0005531E">
        <w:trPr>
          <w:cantSplit/>
          <w:trHeight w:val="680"/>
        </w:trPr>
        <w:tc>
          <w:tcPr>
            <w:tcW w:w="9040" w:type="dxa"/>
            <w:gridSpan w:val="5"/>
            <w:vAlign w:val="center"/>
          </w:tcPr>
          <w:p w14:paraId="51E90FB5" w14:textId="77777777" w:rsidR="00960062" w:rsidRDefault="00960062" w:rsidP="0005531E">
            <w:pPr>
              <w:overflowPunct w:val="0"/>
              <w:autoSpaceDE/>
              <w:autoSpaceDN/>
              <w:spacing w:line="320" w:lineRule="exact"/>
              <w:ind w:firstLine="0"/>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特种设备（□事故  □相关事故  □报告  □续报）</w:t>
            </w:r>
          </w:p>
        </w:tc>
      </w:tr>
      <w:tr w:rsidR="00960062" w14:paraId="1C80850B" w14:textId="77777777" w:rsidTr="0005531E">
        <w:trPr>
          <w:cantSplit/>
          <w:trHeight w:val="680"/>
        </w:trPr>
        <w:tc>
          <w:tcPr>
            <w:tcW w:w="2174" w:type="dxa"/>
            <w:vAlign w:val="center"/>
          </w:tcPr>
          <w:p w14:paraId="78613861"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事故发生单位</w:t>
            </w:r>
          </w:p>
        </w:tc>
        <w:tc>
          <w:tcPr>
            <w:tcW w:w="6866" w:type="dxa"/>
            <w:gridSpan w:val="4"/>
            <w:vAlign w:val="center"/>
          </w:tcPr>
          <w:p w14:paraId="44BCDD3F"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r w:rsidR="00960062" w14:paraId="61021689" w14:textId="77777777" w:rsidTr="0005531E">
        <w:trPr>
          <w:cantSplit/>
          <w:trHeight w:val="680"/>
        </w:trPr>
        <w:tc>
          <w:tcPr>
            <w:tcW w:w="2174" w:type="dxa"/>
            <w:vAlign w:val="center"/>
          </w:tcPr>
          <w:p w14:paraId="097CB198"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事故发生时间</w:t>
            </w:r>
          </w:p>
        </w:tc>
        <w:tc>
          <w:tcPr>
            <w:tcW w:w="2344" w:type="dxa"/>
            <w:vAlign w:val="center"/>
          </w:tcPr>
          <w:p w14:paraId="0FB5C959"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c>
          <w:tcPr>
            <w:tcW w:w="2346" w:type="dxa"/>
            <w:gridSpan w:val="2"/>
            <w:vAlign w:val="center"/>
          </w:tcPr>
          <w:p w14:paraId="4BFA067E"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接报时间</w:t>
            </w:r>
          </w:p>
        </w:tc>
        <w:tc>
          <w:tcPr>
            <w:tcW w:w="2176" w:type="dxa"/>
            <w:vAlign w:val="center"/>
          </w:tcPr>
          <w:p w14:paraId="51D7DB3A"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r w:rsidR="00960062" w14:paraId="1216AC08" w14:textId="77777777" w:rsidTr="0005531E">
        <w:trPr>
          <w:cantSplit/>
          <w:trHeight w:val="680"/>
        </w:trPr>
        <w:tc>
          <w:tcPr>
            <w:tcW w:w="2174" w:type="dxa"/>
            <w:vAlign w:val="center"/>
          </w:tcPr>
          <w:p w14:paraId="28277723"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事故发生地点</w:t>
            </w:r>
          </w:p>
        </w:tc>
        <w:tc>
          <w:tcPr>
            <w:tcW w:w="6866" w:type="dxa"/>
            <w:gridSpan w:val="4"/>
            <w:vAlign w:val="center"/>
          </w:tcPr>
          <w:p w14:paraId="0D124CBD" w14:textId="77777777" w:rsidR="00960062" w:rsidRDefault="00960062" w:rsidP="0005531E">
            <w:pPr>
              <w:overflowPunct w:val="0"/>
              <w:autoSpaceDE/>
              <w:autoSpaceDN/>
              <w:spacing w:line="320" w:lineRule="exact"/>
              <w:ind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具体到市（区）、乡镇（街道）、村（居）等</w:t>
            </w:r>
          </w:p>
        </w:tc>
      </w:tr>
      <w:tr w:rsidR="00960062" w14:paraId="26E6430F" w14:textId="77777777" w:rsidTr="0005531E">
        <w:trPr>
          <w:cantSplit/>
          <w:trHeight w:val="680"/>
        </w:trPr>
        <w:tc>
          <w:tcPr>
            <w:tcW w:w="2174" w:type="dxa"/>
            <w:vAlign w:val="center"/>
          </w:tcPr>
          <w:p w14:paraId="0AD25952"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设备种类</w:t>
            </w:r>
          </w:p>
        </w:tc>
        <w:tc>
          <w:tcPr>
            <w:tcW w:w="2344" w:type="dxa"/>
            <w:vAlign w:val="center"/>
          </w:tcPr>
          <w:p w14:paraId="42B94AEC"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c>
          <w:tcPr>
            <w:tcW w:w="2346" w:type="dxa"/>
            <w:gridSpan w:val="2"/>
            <w:vAlign w:val="center"/>
          </w:tcPr>
          <w:p w14:paraId="597C190C"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设备品种（名称）</w:t>
            </w:r>
          </w:p>
        </w:tc>
        <w:tc>
          <w:tcPr>
            <w:tcW w:w="2176" w:type="dxa"/>
            <w:vAlign w:val="center"/>
          </w:tcPr>
          <w:p w14:paraId="08D9CEFC"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r w:rsidR="00960062" w14:paraId="4414E901" w14:textId="77777777" w:rsidTr="0005531E">
        <w:trPr>
          <w:cantSplit/>
          <w:trHeight w:val="680"/>
        </w:trPr>
        <w:tc>
          <w:tcPr>
            <w:tcW w:w="2174" w:type="dxa"/>
            <w:vAlign w:val="center"/>
          </w:tcPr>
          <w:p w14:paraId="6AA7620D"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设备参数</w:t>
            </w:r>
          </w:p>
        </w:tc>
        <w:tc>
          <w:tcPr>
            <w:tcW w:w="2344" w:type="dxa"/>
            <w:vAlign w:val="center"/>
          </w:tcPr>
          <w:p w14:paraId="32697121"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c>
          <w:tcPr>
            <w:tcW w:w="2346" w:type="dxa"/>
            <w:gridSpan w:val="2"/>
            <w:vAlign w:val="center"/>
          </w:tcPr>
          <w:p w14:paraId="1225C1C1"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设备用途</w:t>
            </w:r>
          </w:p>
        </w:tc>
        <w:tc>
          <w:tcPr>
            <w:tcW w:w="2176" w:type="dxa"/>
            <w:vAlign w:val="center"/>
          </w:tcPr>
          <w:p w14:paraId="4D86B685"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r w:rsidR="00960062" w14:paraId="025EC060" w14:textId="77777777" w:rsidTr="0005531E">
        <w:trPr>
          <w:cantSplit/>
          <w:trHeight w:val="680"/>
        </w:trPr>
        <w:tc>
          <w:tcPr>
            <w:tcW w:w="2174" w:type="dxa"/>
            <w:vAlign w:val="center"/>
          </w:tcPr>
          <w:p w14:paraId="713B9949"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事故特征</w:t>
            </w:r>
          </w:p>
        </w:tc>
        <w:tc>
          <w:tcPr>
            <w:tcW w:w="2344" w:type="dxa"/>
            <w:vAlign w:val="center"/>
          </w:tcPr>
          <w:p w14:paraId="16748221"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c>
          <w:tcPr>
            <w:tcW w:w="2346" w:type="dxa"/>
            <w:gridSpan w:val="2"/>
            <w:vAlign w:val="center"/>
          </w:tcPr>
          <w:p w14:paraId="0EB0E22A"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所属行业</w:t>
            </w:r>
          </w:p>
        </w:tc>
        <w:tc>
          <w:tcPr>
            <w:tcW w:w="2176" w:type="dxa"/>
            <w:vAlign w:val="center"/>
          </w:tcPr>
          <w:p w14:paraId="32E1253F"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r w:rsidR="00960062" w14:paraId="2379B9CD" w14:textId="77777777" w:rsidTr="0005531E">
        <w:trPr>
          <w:cantSplit/>
          <w:trHeight w:val="680"/>
        </w:trPr>
        <w:tc>
          <w:tcPr>
            <w:tcW w:w="2174" w:type="dxa"/>
            <w:vAlign w:val="center"/>
          </w:tcPr>
          <w:p w14:paraId="0806D83A"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伤亡情况</w:t>
            </w:r>
          </w:p>
        </w:tc>
        <w:tc>
          <w:tcPr>
            <w:tcW w:w="6866" w:type="dxa"/>
            <w:gridSpan w:val="4"/>
            <w:vAlign w:val="center"/>
          </w:tcPr>
          <w:p w14:paraId="09A1E924" w14:textId="77777777" w:rsidR="00960062" w:rsidRDefault="00960062" w:rsidP="0005531E">
            <w:pPr>
              <w:overflowPunct w:val="0"/>
              <w:autoSpaceDE/>
              <w:autoSpaceDN/>
              <w:spacing w:line="320" w:lineRule="exact"/>
              <w:ind w:firstLine="0"/>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死亡（）人，受伤（）人，其中重伤（）人</w:t>
            </w:r>
          </w:p>
        </w:tc>
      </w:tr>
      <w:tr w:rsidR="00960062" w14:paraId="3C46D37E" w14:textId="77777777" w:rsidTr="0005531E">
        <w:trPr>
          <w:cantSplit/>
          <w:trHeight w:val="680"/>
        </w:trPr>
        <w:tc>
          <w:tcPr>
            <w:tcW w:w="2174" w:type="dxa"/>
            <w:vAlign w:val="center"/>
          </w:tcPr>
          <w:p w14:paraId="0FD9ACBE"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预计直接经济损失</w:t>
            </w:r>
          </w:p>
          <w:p w14:paraId="2CC4BB9B"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（万元）</w:t>
            </w:r>
          </w:p>
        </w:tc>
        <w:tc>
          <w:tcPr>
            <w:tcW w:w="6866" w:type="dxa"/>
            <w:gridSpan w:val="4"/>
            <w:vAlign w:val="center"/>
          </w:tcPr>
          <w:p w14:paraId="125E0732"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r w:rsidR="00960062" w14:paraId="72E0BDF4" w14:textId="77777777" w:rsidTr="0005531E">
        <w:trPr>
          <w:cantSplit/>
          <w:trHeight w:val="1438"/>
        </w:trPr>
        <w:tc>
          <w:tcPr>
            <w:tcW w:w="2174" w:type="dxa"/>
            <w:vAlign w:val="center"/>
          </w:tcPr>
          <w:p w14:paraId="042C69CF"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事故等级</w:t>
            </w:r>
          </w:p>
        </w:tc>
        <w:tc>
          <w:tcPr>
            <w:tcW w:w="3431" w:type="dxa"/>
            <w:gridSpan w:val="2"/>
            <w:vAlign w:val="center"/>
          </w:tcPr>
          <w:p w14:paraId="36E3E64B" w14:textId="77777777" w:rsidR="00960062" w:rsidRDefault="00960062" w:rsidP="0005531E">
            <w:pPr>
              <w:overflowPunct w:val="0"/>
              <w:autoSpaceDE/>
              <w:autoSpaceDN/>
              <w:spacing w:line="320" w:lineRule="exact"/>
              <w:ind w:leftChars="150" w:left="480"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□特别重大事故</w:t>
            </w:r>
          </w:p>
          <w:p w14:paraId="600698A5" w14:textId="77777777" w:rsidR="00960062" w:rsidRDefault="00960062" w:rsidP="0005531E">
            <w:pPr>
              <w:overflowPunct w:val="0"/>
              <w:autoSpaceDE/>
              <w:autoSpaceDN/>
              <w:spacing w:line="320" w:lineRule="exact"/>
              <w:ind w:leftChars="150" w:left="480"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□重大事故</w:t>
            </w:r>
          </w:p>
          <w:p w14:paraId="781AE421" w14:textId="77777777" w:rsidR="00960062" w:rsidRDefault="00960062" w:rsidP="0005531E">
            <w:pPr>
              <w:overflowPunct w:val="0"/>
              <w:autoSpaceDE/>
              <w:autoSpaceDN/>
              <w:spacing w:line="320" w:lineRule="exact"/>
              <w:ind w:leftChars="150" w:left="480"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□较大事故</w:t>
            </w:r>
          </w:p>
          <w:p w14:paraId="3AAEBF4C" w14:textId="77777777" w:rsidR="00960062" w:rsidRDefault="00960062" w:rsidP="0005531E">
            <w:pPr>
              <w:overflowPunct w:val="0"/>
              <w:autoSpaceDE/>
              <w:autoSpaceDN/>
              <w:spacing w:line="320" w:lineRule="exact"/>
              <w:ind w:leftChars="150" w:left="480"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□一般事故</w:t>
            </w:r>
          </w:p>
        </w:tc>
        <w:tc>
          <w:tcPr>
            <w:tcW w:w="3435" w:type="dxa"/>
            <w:gridSpan w:val="2"/>
            <w:vAlign w:val="center"/>
          </w:tcPr>
          <w:p w14:paraId="5CEDA372" w14:textId="77777777" w:rsidR="00960062" w:rsidRDefault="00960062" w:rsidP="0005531E">
            <w:pPr>
              <w:overflowPunct w:val="0"/>
              <w:autoSpaceDE/>
              <w:autoSpaceDN/>
              <w:spacing w:line="320" w:lineRule="exact"/>
              <w:ind w:leftChars="100" w:left="320"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□特种设备相关事故</w:t>
            </w:r>
          </w:p>
          <w:p w14:paraId="23A42847" w14:textId="77777777" w:rsidR="00960062" w:rsidRDefault="00960062" w:rsidP="0005531E">
            <w:pPr>
              <w:overflowPunct w:val="0"/>
              <w:autoSpaceDE/>
              <w:autoSpaceDN/>
              <w:spacing w:line="240" w:lineRule="exact"/>
              <w:ind w:leftChars="100" w:left="320" w:firstLine="0"/>
              <w:jc w:val="left"/>
              <w:rPr>
                <w:rFonts w:ascii="方正黑体_GBK" w:eastAsia="方正黑体_GBK" w:hAnsi="方正黑体_GBK" w:cs="方正黑体_GBK"/>
                <w:sz w:val="21"/>
                <w:szCs w:val="21"/>
              </w:rPr>
            </w:pPr>
          </w:p>
          <w:p w14:paraId="6BA9F9CA" w14:textId="77777777" w:rsidR="00960062" w:rsidRDefault="00960062" w:rsidP="0005531E">
            <w:pPr>
              <w:overflowPunct w:val="0"/>
              <w:autoSpaceDE/>
              <w:autoSpaceDN/>
              <w:spacing w:line="320" w:lineRule="exact"/>
              <w:ind w:leftChars="100" w:left="320" w:firstLine="0"/>
              <w:jc w:val="left"/>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□特种设备突发事件信息</w:t>
            </w:r>
          </w:p>
        </w:tc>
      </w:tr>
      <w:tr w:rsidR="00960062" w14:paraId="239F808F" w14:textId="77777777" w:rsidTr="0005531E">
        <w:trPr>
          <w:cantSplit/>
          <w:trHeight w:val="567"/>
        </w:trPr>
        <w:tc>
          <w:tcPr>
            <w:tcW w:w="9040" w:type="dxa"/>
            <w:gridSpan w:val="5"/>
            <w:vAlign w:val="center"/>
          </w:tcPr>
          <w:p w14:paraId="32E43858" w14:textId="77777777" w:rsidR="00960062" w:rsidRDefault="00960062" w:rsidP="0005531E">
            <w:pPr>
              <w:overflowPunct w:val="0"/>
              <w:autoSpaceDE/>
              <w:autoSpaceDN/>
              <w:spacing w:line="320" w:lineRule="exact"/>
              <w:ind w:firstLine="0"/>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事故（事件）概况、初步原因判断和已经采取的措施：</w:t>
            </w:r>
          </w:p>
          <w:p w14:paraId="785267CD"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p w14:paraId="0C650987"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p w14:paraId="1B2B42CF"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p w14:paraId="65AEAC9B"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p w14:paraId="792092FE"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p w14:paraId="71B40E8F" w14:textId="77777777" w:rsidR="00960062" w:rsidRDefault="00960062" w:rsidP="0005531E">
            <w:pPr>
              <w:overflowPunct w:val="0"/>
              <w:autoSpaceDE/>
              <w:autoSpaceDN/>
              <w:spacing w:line="320" w:lineRule="exact"/>
              <w:ind w:firstLine="0"/>
              <w:jc w:val="center"/>
              <w:rPr>
                <w:rFonts w:ascii="方正黑体_GBK" w:eastAsia="方正黑体_GBK" w:hAnsi="方正黑体_GBK" w:cs="方正黑体_GBK"/>
                <w:sz w:val="21"/>
                <w:szCs w:val="21"/>
              </w:rPr>
            </w:pPr>
          </w:p>
        </w:tc>
      </w:tr>
    </w:tbl>
    <w:p w14:paraId="3913A420" w14:textId="77777777" w:rsidR="00960062" w:rsidRDefault="00960062" w:rsidP="00960062">
      <w:pPr>
        <w:topLinePunct/>
        <w:adjustRightInd w:val="0"/>
        <w:spacing w:line="400" w:lineRule="exact"/>
        <w:ind w:firstLine="0"/>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 xml:space="preserve">填报单位（章）：                          </w:t>
      </w:r>
    </w:p>
    <w:p w14:paraId="418C1F9D" w14:textId="77777777" w:rsidR="00960062" w:rsidRDefault="00960062" w:rsidP="00960062">
      <w:pPr>
        <w:topLinePunct/>
        <w:adjustRightInd w:val="0"/>
        <w:spacing w:beforeLines="50" w:before="120" w:line="400" w:lineRule="exact"/>
        <w:ind w:firstLine="0"/>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填报人（签名）：                      填报日期：      年    月    日</w:t>
      </w:r>
    </w:p>
    <w:p w14:paraId="6E8F580E" w14:textId="3AEAB938" w:rsidR="002471B2" w:rsidRPr="00911F8C" w:rsidRDefault="00960062" w:rsidP="00911F8C">
      <w:pPr>
        <w:topLinePunct/>
        <w:adjustRightInd w:val="0"/>
        <w:spacing w:beforeLines="50" w:before="120" w:line="400" w:lineRule="exact"/>
        <w:ind w:firstLine="0"/>
        <w:rPr>
          <w:rFonts w:ascii="方正黑体_GBK" w:eastAsia="方正黑体_GBK" w:hAnsi="方正黑体_GBK" w:cs="方正黑体_GBK" w:hint="eastAsia"/>
          <w:sz w:val="21"/>
          <w:szCs w:val="21"/>
        </w:rPr>
      </w:pPr>
      <w:r>
        <w:rPr>
          <w:rFonts w:ascii="方正黑体_GBK" w:eastAsia="方正黑体_GBK" w:hAnsi="方正黑体_GBK" w:cs="方正黑体_GBK" w:hint="eastAsia"/>
          <w:sz w:val="21"/>
          <w:szCs w:val="21"/>
        </w:rPr>
        <w:t>电话：                       传真：                  E—Mail：</w:t>
      </w:r>
    </w:p>
    <w:sectPr w:rsidR="002471B2" w:rsidRPr="00911F8C" w:rsidSect="00A33DEC">
      <w:footerReference w:type="default" r:id="rId9"/>
      <w:pgSz w:w="11900" w:h="16821"/>
      <w:pgMar w:top="1814" w:right="1531" w:bottom="1814" w:left="1531" w:header="720" w:footer="1077" w:gutter="0"/>
      <w:pgNumType w:fmt="numberInDash"/>
      <w:cols w:space="720"/>
      <w:docGrid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FBC3" w14:textId="77777777" w:rsidR="00C969B3" w:rsidRDefault="00C969B3">
      <w:pPr>
        <w:spacing w:line="240" w:lineRule="auto"/>
      </w:pPr>
      <w:r>
        <w:separator/>
      </w:r>
    </w:p>
  </w:endnote>
  <w:endnote w:type="continuationSeparator" w:id="0">
    <w:p w14:paraId="150ADF1D" w14:textId="77777777" w:rsidR="00C969B3" w:rsidRDefault="00C96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鼎简仿宋">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68DE" w14:textId="77777777" w:rsidR="00A33DEC" w:rsidRDefault="00C969B3">
    <w:pPr>
      <w:pStyle w:val="a7"/>
      <w:ind w:right="360" w:firstLine="360"/>
    </w:pPr>
    <w:r>
      <w:rPr>
        <w:noProof/>
        <w:snapToGrid/>
      </w:rPr>
      <w:pict w14:anchorId="03FE0FC7">
        <v:shapetype id="_x0000_t202" coordsize="21600,21600" o:spt="202" path="m,l,21600r21600,l21600,xe">
          <v:stroke joinstyle="miter"/>
          <v:path gradientshapeok="t" o:connecttype="rect"/>
        </v:shapetype>
        <v:shape id="文本框 5" o:spid="_x0000_s1027" type="#_x0000_t202" style="position:absolute;left:0;text-align:left;margin-left:-49.55pt;margin-top:0;width:30.95pt;height:20pt;z-index:2516577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" filled="f" stroked="f" strokeweight=".5pt">
          <v:path arrowok="t"/>
          <v:textbox style="mso-fit-shape-to-text:t" inset="0,0,0,0">
            <w:txbxContent>
              <w:p w14:paraId="1CEEA45C" w14:textId="77777777" w:rsidR="00A33DEC" w:rsidRDefault="00C95220">
                <w:pPr>
                  <w:pStyle w:val="a7"/>
                  <w:rPr>
                    <w:rStyle w:val="a4"/>
                    <w:sz w:val="24"/>
                    <w:szCs w:val="24"/>
                  </w:rPr>
                </w:pPr>
                <w:r>
                  <w:rPr>
                    <w:sz w:val="24"/>
                    <w:szCs w:val="24"/>
                  </w:rPr>
                  <w:fldChar w:fldCharType="begin"/>
                </w:r>
                <w:r>
                  <w:rPr>
                    <w:rStyle w:val="a4"/>
                    <w:sz w:val="24"/>
                    <w:szCs w:val="24"/>
                  </w:rPr>
                  <w:instrText xml:space="preserve">PAGE  </w:instrText>
                </w:r>
                <w:r>
                  <w:rPr>
                    <w:sz w:val="24"/>
                    <w:szCs w:val="24"/>
                  </w:rPr>
                  <w:fldChar w:fldCharType="separate"/>
                </w:r>
                <w:r w:rsidR="00960062">
                  <w:rPr>
                    <w:rStyle w:val="a4"/>
                    <w:noProof/>
                    <w:sz w:val="24"/>
                    <w:szCs w:val="24"/>
                  </w:rPr>
                  <w:t>- 2 -</w:t>
                </w:r>
                <w:r>
                  <w:rPr>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EEE1" w14:textId="77777777" w:rsidR="00C969B3" w:rsidRDefault="00C969B3">
      <w:pPr>
        <w:spacing w:line="240" w:lineRule="auto"/>
      </w:pPr>
      <w:r>
        <w:separator/>
      </w:r>
    </w:p>
  </w:footnote>
  <w:footnote w:type="continuationSeparator" w:id="0">
    <w:p w14:paraId="029DCCB7" w14:textId="77777777" w:rsidR="00C969B3" w:rsidRDefault="00C969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0062"/>
    <w:rsid w:val="00000FF4"/>
    <w:rsid w:val="000028F8"/>
    <w:rsid w:val="00002D4E"/>
    <w:rsid w:val="00003537"/>
    <w:rsid w:val="00003C7B"/>
    <w:rsid w:val="000040BA"/>
    <w:rsid w:val="0000473E"/>
    <w:rsid w:val="00004D04"/>
    <w:rsid w:val="00004D5B"/>
    <w:rsid w:val="00005477"/>
    <w:rsid w:val="00005478"/>
    <w:rsid w:val="00005796"/>
    <w:rsid w:val="00005F95"/>
    <w:rsid w:val="00006873"/>
    <w:rsid w:val="00006F54"/>
    <w:rsid w:val="00007097"/>
    <w:rsid w:val="000079E5"/>
    <w:rsid w:val="0001041A"/>
    <w:rsid w:val="0001226F"/>
    <w:rsid w:val="00012B95"/>
    <w:rsid w:val="00012EAA"/>
    <w:rsid w:val="00014632"/>
    <w:rsid w:val="00014977"/>
    <w:rsid w:val="00014B1B"/>
    <w:rsid w:val="00015C43"/>
    <w:rsid w:val="00015EA0"/>
    <w:rsid w:val="0001669F"/>
    <w:rsid w:val="00016E88"/>
    <w:rsid w:val="00017448"/>
    <w:rsid w:val="00017855"/>
    <w:rsid w:val="00020B63"/>
    <w:rsid w:val="00021552"/>
    <w:rsid w:val="000215A0"/>
    <w:rsid w:val="0002312C"/>
    <w:rsid w:val="000235F6"/>
    <w:rsid w:val="00024445"/>
    <w:rsid w:val="000244C8"/>
    <w:rsid w:val="00025701"/>
    <w:rsid w:val="00025F53"/>
    <w:rsid w:val="0002639F"/>
    <w:rsid w:val="00026772"/>
    <w:rsid w:val="0002697D"/>
    <w:rsid w:val="00026A1C"/>
    <w:rsid w:val="00027A61"/>
    <w:rsid w:val="00030264"/>
    <w:rsid w:val="0003072F"/>
    <w:rsid w:val="00030767"/>
    <w:rsid w:val="0003135B"/>
    <w:rsid w:val="00031D68"/>
    <w:rsid w:val="00034478"/>
    <w:rsid w:val="0003451F"/>
    <w:rsid w:val="00035540"/>
    <w:rsid w:val="0003585D"/>
    <w:rsid w:val="000367BC"/>
    <w:rsid w:val="00036E7F"/>
    <w:rsid w:val="000374DD"/>
    <w:rsid w:val="00037CED"/>
    <w:rsid w:val="00040A06"/>
    <w:rsid w:val="000415E0"/>
    <w:rsid w:val="00041B81"/>
    <w:rsid w:val="00042985"/>
    <w:rsid w:val="00043A5F"/>
    <w:rsid w:val="00043B20"/>
    <w:rsid w:val="00043E88"/>
    <w:rsid w:val="00043E94"/>
    <w:rsid w:val="00043EC0"/>
    <w:rsid w:val="00044279"/>
    <w:rsid w:val="00045512"/>
    <w:rsid w:val="000460F3"/>
    <w:rsid w:val="00046A45"/>
    <w:rsid w:val="00046F9C"/>
    <w:rsid w:val="00050710"/>
    <w:rsid w:val="0005087E"/>
    <w:rsid w:val="00050926"/>
    <w:rsid w:val="000510F3"/>
    <w:rsid w:val="0005191A"/>
    <w:rsid w:val="00052062"/>
    <w:rsid w:val="00052187"/>
    <w:rsid w:val="0005312E"/>
    <w:rsid w:val="000539D0"/>
    <w:rsid w:val="00053F5D"/>
    <w:rsid w:val="00053F69"/>
    <w:rsid w:val="000547E0"/>
    <w:rsid w:val="00054923"/>
    <w:rsid w:val="00056AFA"/>
    <w:rsid w:val="00057AFE"/>
    <w:rsid w:val="00057CDF"/>
    <w:rsid w:val="00057DF7"/>
    <w:rsid w:val="00060839"/>
    <w:rsid w:val="00060B51"/>
    <w:rsid w:val="0006127B"/>
    <w:rsid w:val="000615F0"/>
    <w:rsid w:val="00061CDB"/>
    <w:rsid w:val="00062D1F"/>
    <w:rsid w:val="00062E63"/>
    <w:rsid w:val="000641D6"/>
    <w:rsid w:val="0006482C"/>
    <w:rsid w:val="00064D50"/>
    <w:rsid w:val="00065800"/>
    <w:rsid w:val="00066631"/>
    <w:rsid w:val="0006686D"/>
    <w:rsid w:val="00066F3D"/>
    <w:rsid w:val="00067379"/>
    <w:rsid w:val="0006781F"/>
    <w:rsid w:val="000701B4"/>
    <w:rsid w:val="00070445"/>
    <w:rsid w:val="0007092D"/>
    <w:rsid w:val="000709F2"/>
    <w:rsid w:val="000711D5"/>
    <w:rsid w:val="00071542"/>
    <w:rsid w:val="00071577"/>
    <w:rsid w:val="00072935"/>
    <w:rsid w:val="00073340"/>
    <w:rsid w:val="00075AAF"/>
    <w:rsid w:val="000765D7"/>
    <w:rsid w:val="0007691F"/>
    <w:rsid w:val="00076D8C"/>
    <w:rsid w:val="00076F61"/>
    <w:rsid w:val="00077402"/>
    <w:rsid w:val="00080E68"/>
    <w:rsid w:val="00081144"/>
    <w:rsid w:val="000812FA"/>
    <w:rsid w:val="0008161D"/>
    <w:rsid w:val="00081780"/>
    <w:rsid w:val="0008228E"/>
    <w:rsid w:val="000828A7"/>
    <w:rsid w:val="00082BF9"/>
    <w:rsid w:val="00082D25"/>
    <w:rsid w:val="00083B26"/>
    <w:rsid w:val="00083E89"/>
    <w:rsid w:val="0008513E"/>
    <w:rsid w:val="00085763"/>
    <w:rsid w:val="00086E13"/>
    <w:rsid w:val="00086E16"/>
    <w:rsid w:val="00090191"/>
    <w:rsid w:val="00091DFC"/>
    <w:rsid w:val="00092A33"/>
    <w:rsid w:val="000931AA"/>
    <w:rsid w:val="00093287"/>
    <w:rsid w:val="000948FD"/>
    <w:rsid w:val="00095634"/>
    <w:rsid w:val="00095E11"/>
    <w:rsid w:val="00096072"/>
    <w:rsid w:val="000962AA"/>
    <w:rsid w:val="000964B8"/>
    <w:rsid w:val="0009653A"/>
    <w:rsid w:val="0009799C"/>
    <w:rsid w:val="000A02A4"/>
    <w:rsid w:val="000A0608"/>
    <w:rsid w:val="000A0FE6"/>
    <w:rsid w:val="000A2919"/>
    <w:rsid w:val="000A2DD6"/>
    <w:rsid w:val="000A317A"/>
    <w:rsid w:val="000A34E2"/>
    <w:rsid w:val="000A36C6"/>
    <w:rsid w:val="000A43C0"/>
    <w:rsid w:val="000A48ED"/>
    <w:rsid w:val="000A58B8"/>
    <w:rsid w:val="000A5C75"/>
    <w:rsid w:val="000A6442"/>
    <w:rsid w:val="000A6807"/>
    <w:rsid w:val="000A7E6D"/>
    <w:rsid w:val="000B0360"/>
    <w:rsid w:val="000B0637"/>
    <w:rsid w:val="000B0D0C"/>
    <w:rsid w:val="000B0D4E"/>
    <w:rsid w:val="000B2F93"/>
    <w:rsid w:val="000B3A52"/>
    <w:rsid w:val="000B3AF9"/>
    <w:rsid w:val="000B3BB1"/>
    <w:rsid w:val="000B430C"/>
    <w:rsid w:val="000B4EE5"/>
    <w:rsid w:val="000B5CA5"/>
    <w:rsid w:val="000B74A2"/>
    <w:rsid w:val="000C0BA6"/>
    <w:rsid w:val="000C1130"/>
    <w:rsid w:val="000C1988"/>
    <w:rsid w:val="000C23AF"/>
    <w:rsid w:val="000C34D7"/>
    <w:rsid w:val="000C3FC1"/>
    <w:rsid w:val="000C45E8"/>
    <w:rsid w:val="000C494D"/>
    <w:rsid w:val="000C5831"/>
    <w:rsid w:val="000C5900"/>
    <w:rsid w:val="000C7B68"/>
    <w:rsid w:val="000D0B05"/>
    <w:rsid w:val="000D22E2"/>
    <w:rsid w:val="000D250D"/>
    <w:rsid w:val="000D393C"/>
    <w:rsid w:val="000D4891"/>
    <w:rsid w:val="000D6D97"/>
    <w:rsid w:val="000D78B5"/>
    <w:rsid w:val="000D79E2"/>
    <w:rsid w:val="000D7B39"/>
    <w:rsid w:val="000D7FA2"/>
    <w:rsid w:val="000E02CA"/>
    <w:rsid w:val="000E0A01"/>
    <w:rsid w:val="000E0B60"/>
    <w:rsid w:val="000E137E"/>
    <w:rsid w:val="000E1BBE"/>
    <w:rsid w:val="000E2DC6"/>
    <w:rsid w:val="000E3482"/>
    <w:rsid w:val="000E3644"/>
    <w:rsid w:val="000E3B7A"/>
    <w:rsid w:val="000E4BCA"/>
    <w:rsid w:val="000E4D8A"/>
    <w:rsid w:val="000E5745"/>
    <w:rsid w:val="000E5974"/>
    <w:rsid w:val="000E5B9F"/>
    <w:rsid w:val="000E6ACF"/>
    <w:rsid w:val="000E75DC"/>
    <w:rsid w:val="000E7870"/>
    <w:rsid w:val="000F02C6"/>
    <w:rsid w:val="000F0519"/>
    <w:rsid w:val="000F0551"/>
    <w:rsid w:val="000F11A5"/>
    <w:rsid w:val="000F18E3"/>
    <w:rsid w:val="000F1B6C"/>
    <w:rsid w:val="000F3948"/>
    <w:rsid w:val="000F4568"/>
    <w:rsid w:val="000F4CC4"/>
    <w:rsid w:val="000F4EE3"/>
    <w:rsid w:val="000F78AA"/>
    <w:rsid w:val="001030FE"/>
    <w:rsid w:val="00103E8F"/>
    <w:rsid w:val="0010455C"/>
    <w:rsid w:val="001047C6"/>
    <w:rsid w:val="00104CAE"/>
    <w:rsid w:val="001052D8"/>
    <w:rsid w:val="00105543"/>
    <w:rsid w:val="0011033C"/>
    <w:rsid w:val="001120B6"/>
    <w:rsid w:val="00112264"/>
    <w:rsid w:val="001135EC"/>
    <w:rsid w:val="0011366B"/>
    <w:rsid w:val="00113C2D"/>
    <w:rsid w:val="001164E0"/>
    <w:rsid w:val="001229B8"/>
    <w:rsid w:val="001229D7"/>
    <w:rsid w:val="001231C6"/>
    <w:rsid w:val="00123BA8"/>
    <w:rsid w:val="00125644"/>
    <w:rsid w:val="00125B6D"/>
    <w:rsid w:val="001276A3"/>
    <w:rsid w:val="00127C2F"/>
    <w:rsid w:val="00130BEF"/>
    <w:rsid w:val="00130EAD"/>
    <w:rsid w:val="001333D6"/>
    <w:rsid w:val="00133A88"/>
    <w:rsid w:val="00133EAC"/>
    <w:rsid w:val="00133FBA"/>
    <w:rsid w:val="00135775"/>
    <w:rsid w:val="001358C8"/>
    <w:rsid w:val="00136956"/>
    <w:rsid w:val="00136C76"/>
    <w:rsid w:val="001372BE"/>
    <w:rsid w:val="0013772A"/>
    <w:rsid w:val="00137DC3"/>
    <w:rsid w:val="00141071"/>
    <w:rsid w:val="001428D2"/>
    <w:rsid w:val="00142A54"/>
    <w:rsid w:val="00142FEF"/>
    <w:rsid w:val="001432D9"/>
    <w:rsid w:val="00143812"/>
    <w:rsid w:val="00144D63"/>
    <w:rsid w:val="00145E6E"/>
    <w:rsid w:val="001461D0"/>
    <w:rsid w:val="0014644A"/>
    <w:rsid w:val="001466EF"/>
    <w:rsid w:val="0014760A"/>
    <w:rsid w:val="0014792D"/>
    <w:rsid w:val="001479C9"/>
    <w:rsid w:val="00147B00"/>
    <w:rsid w:val="00150630"/>
    <w:rsid w:val="00150D2E"/>
    <w:rsid w:val="00152396"/>
    <w:rsid w:val="00152BDF"/>
    <w:rsid w:val="00154309"/>
    <w:rsid w:val="001545C3"/>
    <w:rsid w:val="00155972"/>
    <w:rsid w:val="00155B15"/>
    <w:rsid w:val="00155C02"/>
    <w:rsid w:val="001562A5"/>
    <w:rsid w:val="00156544"/>
    <w:rsid w:val="00156D4F"/>
    <w:rsid w:val="001572AC"/>
    <w:rsid w:val="001577E3"/>
    <w:rsid w:val="00160FCF"/>
    <w:rsid w:val="00161182"/>
    <w:rsid w:val="00161612"/>
    <w:rsid w:val="001616E7"/>
    <w:rsid w:val="0016181D"/>
    <w:rsid w:val="0016259A"/>
    <w:rsid w:val="00162B82"/>
    <w:rsid w:val="00162BC8"/>
    <w:rsid w:val="00162DBE"/>
    <w:rsid w:val="00163281"/>
    <w:rsid w:val="00163BAD"/>
    <w:rsid w:val="00164FF1"/>
    <w:rsid w:val="00165011"/>
    <w:rsid w:val="00165210"/>
    <w:rsid w:val="00165519"/>
    <w:rsid w:val="001655F3"/>
    <w:rsid w:val="0016637C"/>
    <w:rsid w:val="001678E3"/>
    <w:rsid w:val="00170BE9"/>
    <w:rsid w:val="00171604"/>
    <w:rsid w:val="00171674"/>
    <w:rsid w:val="00171EF1"/>
    <w:rsid w:val="00172673"/>
    <w:rsid w:val="00173C52"/>
    <w:rsid w:val="00174358"/>
    <w:rsid w:val="001745AA"/>
    <w:rsid w:val="001766DA"/>
    <w:rsid w:val="00176F76"/>
    <w:rsid w:val="0017789D"/>
    <w:rsid w:val="001815D3"/>
    <w:rsid w:val="0018413E"/>
    <w:rsid w:val="0018427D"/>
    <w:rsid w:val="00186985"/>
    <w:rsid w:val="001907D7"/>
    <w:rsid w:val="00190D2C"/>
    <w:rsid w:val="00191468"/>
    <w:rsid w:val="0019244A"/>
    <w:rsid w:val="00192A3C"/>
    <w:rsid w:val="00192D8D"/>
    <w:rsid w:val="001930C9"/>
    <w:rsid w:val="00193584"/>
    <w:rsid w:val="0019411D"/>
    <w:rsid w:val="00194F8A"/>
    <w:rsid w:val="001952B8"/>
    <w:rsid w:val="0019593F"/>
    <w:rsid w:val="001959A1"/>
    <w:rsid w:val="00195E6B"/>
    <w:rsid w:val="001961FE"/>
    <w:rsid w:val="00196B13"/>
    <w:rsid w:val="00196B77"/>
    <w:rsid w:val="00197867"/>
    <w:rsid w:val="00197D4B"/>
    <w:rsid w:val="001A020C"/>
    <w:rsid w:val="001A0320"/>
    <w:rsid w:val="001A0FA9"/>
    <w:rsid w:val="001A109B"/>
    <w:rsid w:val="001A1C92"/>
    <w:rsid w:val="001A2281"/>
    <w:rsid w:val="001A5A93"/>
    <w:rsid w:val="001A5B32"/>
    <w:rsid w:val="001A5E2B"/>
    <w:rsid w:val="001A6465"/>
    <w:rsid w:val="001A7049"/>
    <w:rsid w:val="001A7CF8"/>
    <w:rsid w:val="001B0D90"/>
    <w:rsid w:val="001B0E8D"/>
    <w:rsid w:val="001B1895"/>
    <w:rsid w:val="001B1C6D"/>
    <w:rsid w:val="001B1D19"/>
    <w:rsid w:val="001B1F88"/>
    <w:rsid w:val="001B2320"/>
    <w:rsid w:val="001B2485"/>
    <w:rsid w:val="001B2F28"/>
    <w:rsid w:val="001B3912"/>
    <w:rsid w:val="001B413C"/>
    <w:rsid w:val="001B4433"/>
    <w:rsid w:val="001B6581"/>
    <w:rsid w:val="001C18EA"/>
    <w:rsid w:val="001C2DD4"/>
    <w:rsid w:val="001C2FED"/>
    <w:rsid w:val="001C38E6"/>
    <w:rsid w:val="001C4A56"/>
    <w:rsid w:val="001C4F2B"/>
    <w:rsid w:val="001C50E2"/>
    <w:rsid w:val="001C7AB9"/>
    <w:rsid w:val="001C7E17"/>
    <w:rsid w:val="001D030E"/>
    <w:rsid w:val="001D0312"/>
    <w:rsid w:val="001D1DCE"/>
    <w:rsid w:val="001D6AF5"/>
    <w:rsid w:val="001D7696"/>
    <w:rsid w:val="001D784B"/>
    <w:rsid w:val="001D7F35"/>
    <w:rsid w:val="001E3B91"/>
    <w:rsid w:val="001E3FC8"/>
    <w:rsid w:val="001E4369"/>
    <w:rsid w:val="001E4B4B"/>
    <w:rsid w:val="001E50A9"/>
    <w:rsid w:val="001E6756"/>
    <w:rsid w:val="001E719D"/>
    <w:rsid w:val="001F13DF"/>
    <w:rsid w:val="001F274E"/>
    <w:rsid w:val="001F3084"/>
    <w:rsid w:val="001F3175"/>
    <w:rsid w:val="001F3351"/>
    <w:rsid w:val="001F3F75"/>
    <w:rsid w:val="001F5071"/>
    <w:rsid w:val="001F5AB9"/>
    <w:rsid w:val="001F6BE2"/>
    <w:rsid w:val="001F6CEA"/>
    <w:rsid w:val="001F6DD5"/>
    <w:rsid w:val="001F75E6"/>
    <w:rsid w:val="001F76FD"/>
    <w:rsid w:val="001F7BE4"/>
    <w:rsid w:val="0020096A"/>
    <w:rsid w:val="00200CD4"/>
    <w:rsid w:val="00201385"/>
    <w:rsid w:val="00201B29"/>
    <w:rsid w:val="0020310F"/>
    <w:rsid w:val="0020367F"/>
    <w:rsid w:val="002046C4"/>
    <w:rsid w:val="00204B49"/>
    <w:rsid w:val="00205154"/>
    <w:rsid w:val="00205263"/>
    <w:rsid w:val="00206132"/>
    <w:rsid w:val="0020616A"/>
    <w:rsid w:val="002066A5"/>
    <w:rsid w:val="002071B5"/>
    <w:rsid w:val="0020762D"/>
    <w:rsid w:val="00207996"/>
    <w:rsid w:val="00211775"/>
    <w:rsid w:val="00211DC9"/>
    <w:rsid w:val="00211E55"/>
    <w:rsid w:val="00213B2C"/>
    <w:rsid w:val="00213CCE"/>
    <w:rsid w:val="00213D6A"/>
    <w:rsid w:val="00214433"/>
    <w:rsid w:val="00214561"/>
    <w:rsid w:val="00214D08"/>
    <w:rsid w:val="00214EBF"/>
    <w:rsid w:val="0021517D"/>
    <w:rsid w:val="00215732"/>
    <w:rsid w:val="0021582D"/>
    <w:rsid w:val="00216581"/>
    <w:rsid w:val="00216A8D"/>
    <w:rsid w:val="00217613"/>
    <w:rsid w:val="00217EF7"/>
    <w:rsid w:val="00220604"/>
    <w:rsid w:val="00221FC5"/>
    <w:rsid w:val="00222070"/>
    <w:rsid w:val="00222334"/>
    <w:rsid w:val="00222A36"/>
    <w:rsid w:val="00222A6A"/>
    <w:rsid w:val="00222DC7"/>
    <w:rsid w:val="002230E7"/>
    <w:rsid w:val="002235B3"/>
    <w:rsid w:val="0022368E"/>
    <w:rsid w:val="0022388C"/>
    <w:rsid w:val="00223F52"/>
    <w:rsid w:val="00224915"/>
    <w:rsid w:val="00224CDF"/>
    <w:rsid w:val="00225DD8"/>
    <w:rsid w:val="0022694B"/>
    <w:rsid w:val="00226C84"/>
    <w:rsid w:val="002273CB"/>
    <w:rsid w:val="00227417"/>
    <w:rsid w:val="002316EC"/>
    <w:rsid w:val="00232031"/>
    <w:rsid w:val="00232E00"/>
    <w:rsid w:val="002330CE"/>
    <w:rsid w:val="002340CA"/>
    <w:rsid w:val="00234C44"/>
    <w:rsid w:val="00234CC6"/>
    <w:rsid w:val="00234D51"/>
    <w:rsid w:val="00234E64"/>
    <w:rsid w:val="002363FB"/>
    <w:rsid w:val="00236B38"/>
    <w:rsid w:val="0023765F"/>
    <w:rsid w:val="0024011F"/>
    <w:rsid w:val="0024019C"/>
    <w:rsid w:val="00240878"/>
    <w:rsid w:val="00241149"/>
    <w:rsid w:val="00241D11"/>
    <w:rsid w:val="00242A62"/>
    <w:rsid w:val="00243F4F"/>
    <w:rsid w:val="0024558E"/>
    <w:rsid w:val="002460D4"/>
    <w:rsid w:val="0024670C"/>
    <w:rsid w:val="002471B2"/>
    <w:rsid w:val="00250578"/>
    <w:rsid w:val="0025057B"/>
    <w:rsid w:val="00251216"/>
    <w:rsid w:val="00251CBB"/>
    <w:rsid w:val="00252BD6"/>
    <w:rsid w:val="00252DFB"/>
    <w:rsid w:val="002530CF"/>
    <w:rsid w:val="002540C3"/>
    <w:rsid w:val="00254C23"/>
    <w:rsid w:val="00255883"/>
    <w:rsid w:val="00256968"/>
    <w:rsid w:val="00256C93"/>
    <w:rsid w:val="00261346"/>
    <w:rsid w:val="00262264"/>
    <w:rsid w:val="0026238C"/>
    <w:rsid w:val="00262CDC"/>
    <w:rsid w:val="002635CC"/>
    <w:rsid w:val="00263D8E"/>
    <w:rsid w:val="00264442"/>
    <w:rsid w:val="00264EBF"/>
    <w:rsid w:val="00264F97"/>
    <w:rsid w:val="00265345"/>
    <w:rsid w:val="00265599"/>
    <w:rsid w:val="0026596B"/>
    <w:rsid w:val="00265BF4"/>
    <w:rsid w:val="002661E1"/>
    <w:rsid w:val="002664EC"/>
    <w:rsid w:val="00266839"/>
    <w:rsid w:val="00267606"/>
    <w:rsid w:val="00267953"/>
    <w:rsid w:val="00267AD5"/>
    <w:rsid w:val="00267B22"/>
    <w:rsid w:val="00267E29"/>
    <w:rsid w:val="00270036"/>
    <w:rsid w:val="002700EB"/>
    <w:rsid w:val="002701A3"/>
    <w:rsid w:val="002702B9"/>
    <w:rsid w:val="00270A04"/>
    <w:rsid w:val="002717A8"/>
    <w:rsid w:val="00273EDD"/>
    <w:rsid w:val="00273EF4"/>
    <w:rsid w:val="00275390"/>
    <w:rsid w:val="0027598C"/>
    <w:rsid w:val="0027667D"/>
    <w:rsid w:val="00276ADD"/>
    <w:rsid w:val="00277760"/>
    <w:rsid w:val="002778A1"/>
    <w:rsid w:val="00277CC6"/>
    <w:rsid w:val="00280E35"/>
    <w:rsid w:val="00281B2E"/>
    <w:rsid w:val="002830C8"/>
    <w:rsid w:val="002848BD"/>
    <w:rsid w:val="00287648"/>
    <w:rsid w:val="00287743"/>
    <w:rsid w:val="0028784E"/>
    <w:rsid w:val="0029069F"/>
    <w:rsid w:val="002908A0"/>
    <w:rsid w:val="00290B9A"/>
    <w:rsid w:val="00290F5F"/>
    <w:rsid w:val="0029161A"/>
    <w:rsid w:val="00291CC4"/>
    <w:rsid w:val="00292373"/>
    <w:rsid w:val="00292624"/>
    <w:rsid w:val="0029267D"/>
    <w:rsid w:val="0029273A"/>
    <w:rsid w:val="00292CBC"/>
    <w:rsid w:val="00292EB7"/>
    <w:rsid w:val="00293EBA"/>
    <w:rsid w:val="002947E3"/>
    <w:rsid w:val="00294C2D"/>
    <w:rsid w:val="00295970"/>
    <w:rsid w:val="00296D80"/>
    <w:rsid w:val="00297358"/>
    <w:rsid w:val="002A0337"/>
    <w:rsid w:val="002A11EE"/>
    <w:rsid w:val="002A12D6"/>
    <w:rsid w:val="002A1C2F"/>
    <w:rsid w:val="002A2BA0"/>
    <w:rsid w:val="002A41EA"/>
    <w:rsid w:val="002A5417"/>
    <w:rsid w:val="002A58AD"/>
    <w:rsid w:val="002A6AF3"/>
    <w:rsid w:val="002A6C45"/>
    <w:rsid w:val="002A7A96"/>
    <w:rsid w:val="002A7BD1"/>
    <w:rsid w:val="002A7CA7"/>
    <w:rsid w:val="002B0AA5"/>
    <w:rsid w:val="002B0F73"/>
    <w:rsid w:val="002B114F"/>
    <w:rsid w:val="002B1268"/>
    <w:rsid w:val="002B1B83"/>
    <w:rsid w:val="002B1C71"/>
    <w:rsid w:val="002B207B"/>
    <w:rsid w:val="002B21A1"/>
    <w:rsid w:val="002B2284"/>
    <w:rsid w:val="002B2B0B"/>
    <w:rsid w:val="002B5938"/>
    <w:rsid w:val="002B5954"/>
    <w:rsid w:val="002B5A0B"/>
    <w:rsid w:val="002B62E5"/>
    <w:rsid w:val="002B6D9B"/>
    <w:rsid w:val="002B769C"/>
    <w:rsid w:val="002B779C"/>
    <w:rsid w:val="002B7E0A"/>
    <w:rsid w:val="002C27F4"/>
    <w:rsid w:val="002C3283"/>
    <w:rsid w:val="002C3469"/>
    <w:rsid w:val="002C41E3"/>
    <w:rsid w:val="002C4B55"/>
    <w:rsid w:val="002C4EF6"/>
    <w:rsid w:val="002C5187"/>
    <w:rsid w:val="002C538D"/>
    <w:rsid w:val="002C5B32"/>
    <w:rsid w:val="002C5B98"/>
    <w:rsid w:val="002C6204"/>
    <w:rsid w:val="002C6361"/>
    <w:rsid w:val="002C6C22"/>
    <w:rsid w:val="002C6F6C"/>
    <w:rsid w:val="002C706D"/>
    <w:rsid w:val="002C7770"/>
    <w:rsid w:val="002D0B48"/>
    <w:rsid w:val="002D1D96"/>
    <w:rsid w:val="002D2EBD"/>
    <w:rsid w:val="002D3376"/>
    <w:rsid w:val="002D34D7"/>
    <w:rsid w:val="002D3836"/>
    <w:rsid w:val="002D3CE9"/>
    <w:rsid w:val="002D3FF5"/>
    <w:rsid w:val="002D4499"/>
    <w:rsid w:val="002D532C"/>
    <w:rsid w:val="002D5AAE"/>
    <w:rsid w:val="002D6C0A"/>
    <w:rsid w:val="002D7030"/>
    <w:rsid w:val="002D75D4"/>
    <w:rsid w:val="002E172A"/>
    <w:rsid w:val="002E18B5"/>
    <w:rsid w:val="002E1BD5"/>
    <w:rsid w:val="002E1D47"/>
    <w:rsid w:val="002E1E16"/>
    <w:rsid w:val="002E1FA0"/>
    <w:rsid w:val="002E2D2C"/>
    <w:rsid w:val="002E3CBA"/>
    <w:rsid w:val="002E48A2"/>
    <w:rsid w:val="002E4C7D"/>
    <w:rsid w:val="002E52A7"/>
    <w:rsid w:val="002E56FC"/>
    <w:rsid w:val="002E66E2"/>
    <w:rsid w:val="002E6870"/>
    <w:rsid w:val="002E6E00"/>
    <w:rsid w:val="002E7788"/>
    <w:rsid w:val="002E77A4"/>
    <w:rsid w:val="002F05AF"/>
    <w:rsid w:val="002F0ABB"/>
    <w:rsid w:val="002F1342"/>
    <w:rsid w:val="002F1877"/>
    <w:rsid w:val="002F1C20"/>
    <w:rsid w:val="002F237D"/>
    <w:rsid w:val="002F29F9"/>
    <w:rsid w:val="002F46D9"/>
    <w:rsid w:val="002F4C7C"/>
    <w:rsid w:val="002F4E97"/>
    <w:rsid w:val="002F5A8B"/>
    <w:rsid w:val="002F6031"/>
    <w:rsid w:val="002F7BC8"/>
    <w:rsid w:val="002F7D52"/>
    <w:rsid w:val="00300014"/>
    <w:rsid w:val="0030127B"/>
    <w:rsid w:val="003017B1"/>
    <w:rsid w:val="003022A9"/>
    <w:rsid w:val="0030335B"/>
    <w:rsid w:val="00303446"/>
    <w:rsid w:val="00303AF3"/>
    <w:rsid w:val="00304310"/>
    <w:rsid w:val="00305512"/>
    <w:rsid w:val="00305542"/>
    <w:rsid w:val="003055CC"/>
    <w:rsid w:val="00306064"/>
    <w:rsid w:val="00306530"/>
    <w:rsid w:val="00306BD4"/>
    <w:rsid w:val="00306D9B"/>
    <w:rsid w:val="003078B4"/>
    <w:rsid w:val="00310E7D"/>
    <w:rsid w:val="003115F4"/>
    <w:rsid w:val="00312F0B"/>
    <w:rsid w:val="00313378"/>
    <w:rsid w:val="00313F5B"/>
    <w:rsid w:val="0031407D"/>
    <w:rsid w:val="00314A3A"/>
    <w:rsid w:val="003152DC"/>
    <w:rsid w:val="00315D6D"/>
    <w:rsid w:val="0032204F"/>
    <w:rsid w:val="003224A4"/>
    <w:rsid w:val="003227A9"/>
    <w:rsid w:val="00323080"/>
    <w:rsid w:val="00323398"/>
    <w:rsid w:val="00324009"/>
    <w:rsid w:val="00324B59"/>
    <w:rsid w:val="00324F61"/>
    <w:rsid w:val="0032641B"/>
    <w:rsid w:val="0032710A"/>
    <w:rsid w:val="003273B9"/>
    <w:rsid w:val="00327DCB"/>
    <w:rsid w:val="00330C8B"/>
    <w:rsid w:val="00330F41"/>
    <w:rsid w:val="00331CA6"/>
    <w:rsid w:val="00332644"/>
    <w:rsid w:val="00333C35"/>
    <w:rsid w:val="003344D7"/>
    <w:rsid w:val="003350C2"/>
    <w:rsid w:val="00335186"/>
    <w:rsid w:val="00336909"/>
    <w:rsid w:val="00340003"/>
    <w:rsid w:val="00341275"/>
    <w:rsid w:val="003428F8"/>
    <w:rsid w:val="003442EE"/>
    <w:rsid w:val="00344B0D"/>
    <w:rsid w:val="0034536A"/>
    <w:rsid w:val="003457FC"/>
    <w:rsid w:val="00346D9E"/>
    <w:rsid w:val="0034737A"/>
    <w:rsid w:val="00347826"/>
    <w:rsid w:val="0035039A"/>
    <w:rsid w:val="00350FAE"/>
    <w:rsid w:val="00351836"/>
    <w:rsid w:val="00351938"/>
    <w:rsid w:val="00351A80"/>
    <w:rsid w:val="003525C2"/>
    <w:rsid w:val="003525CF"/>
    <w:rsid w:val="00352665"/>
    <w:rsid w:val="00353015"/>
    <w:rsid w:val="003531AF"/>
    <w:rsid w:val="003548B3"/>
    <w:rsid w:val="003556F1"/>
    <w:rsid w:val="00355B51"/>
    <w:rsid w:val="00356A37"/>
    <w:rsid w:val="00356BD2"/>
    <w:rsid w:val="00356D97"/>
    <w:rsid w:val="00356EC0"/>
    <w:rsid w:val="00357104"/>
    <w:rsid w:val="00357BED"/>
    <w:rsid w:val="00362C85"/>
    <w:rsid w:val="00362FBF"/>
    <w:rsid w:val="003637E1"/>
    <w:rsid w:val="00363C8A"/>
    <w:rsid w:val="00363EB5"/>
    <w:rsid w:val="00365908"/>
    <w:rsid w:val="003665BF"/>
    <w:rsid w:val="0036750B"/>
    <w:rsid w:val="00367A95"/>
    <w:rsid w:val="00367E6C"/>
    <w:rsid w:val="00370187"/>
    <w:rsid w:val="00370473"/>
    <w:rsid w:val="00370637"/>
    <w:rsid w:val="003716C1"/>
    <w:rsid w:val="00371DAB"/>
    <w:rsid w:val="00371F69"/>
    <w:rsid w:val="00373D0E"/>
    <w:rsid w:val="00375B60"/>
    <w:rsid w:val="00376020"/>
    <w:rsid w:val="00376192"/>
    <w:rsid w:val="003762A5"/>
    <w:rsid w:val="003763C4"/>
    <w:rsid w:val="003774A6"/>
    <w:rsid w:val="003778EF"/>
    <w:rsid w:val="00377F4F"/>
    <w:rsid w:val="003804EE"/>
    <w:rsid w:val="00380510"/>
    <w:rsid w:val="0038080B"/>
    <w:rsid w:val="00380D3F"/>
    <w:rsid w:val="0038291F"/>
    <w:rsid w:val="00382F34"/>
    <w:rsid w:val="003831A6"/>
    <w:rsid w:val="003832B8"/>
    <w:rsid w:val="0038330B"/>
    <w:rsid w:val="00383A0E"/>
    <w:rsid w:val="00383DD0"/>
    <w:rsid w:val="0038552E"/>
    <w:rsid w:val="00386288"/>
    <w:rsid w:val="003865A3"/>
    <w:rsid w:val="0038679E"/>
    <w:rsid w:val="00390EBC"/>
    <w:rsid w:val="003918BA"/>
    <w:rsid w:val="003918E1"/>
    <w:rsid w:val="00391F87"/>
    <w:rsid w:val="0039238F"/>
    <w:rsid w:val="00392F50"/>
    <w:rsid w:val="00395148"/>
    <w:rsid w:val="00395466"/>
    <w:rsid w:val="003961A2"/>
    <w:rsid w:val="003961B8"/>
    <w:rsid w:val="003973AB"/>
    <w:rsid w:val="00397498"/>
    <w:rsid w:val="00397955"/>
    <w:rsid w:val="003A0C40"/>
    <w:rsid w:val="003A0C76"/>
    <w:rsid w:val="003A0D4C"/>
    <w:rsid w:val="003A131A"/>
    <w:rsid w:val="003A13D8"/>
    <w:rsid w:val="003A19D6"/>
    <w:rsid w:val="003A22E7"/>
    <w:rsid w:val="003A25A1"/>
    <w:rsid w:val="003A26A1"/>
    <w:rsid w:val="003A4150"/>
    <w:rsid w:val="003A481F"/>
    <w:rsid w:val="003A5799"/>
    <w:rsid w:val="003A5C06"/>
    <w:rsid w:val="003A6BEE"/>
    <w:rsid w:val="003A756C"/>
    <w:rsid w:val="003A7B95"/>
    <w:rsid w:val="003B01BF"/>
    <w:rsid w:val="003B0D14"/>
    <w:rsid w:val="003B0F9A"/>
    <w:rsid w:val="003B1D56"/>
    <w:rsid w:val="003B25FC"/>
    <w:rsid w:val="003B25FE"/>
    <w:rsid w:val="003B393A"/>
    <w:rsid w:val="003B5056"/>
    <w:rsid w:val="003B5181"/>
    <w:rsid w:val="003B5735"/>
    <w:rsid w:val="003B772F"/>
    <w:rsid w:val="003C1376"/>
    <w:rsid w:val="003C15C1"/>
    <w:rsid w:val="003C1DF3"/>
    <w:rsid w:val="003C1E0F"/>
    <w:rsid w:val="003C2F1B"/>
    <w:rsid w:val="003C3111"/>
    <w:rsid w:val="003C3F4E"/>
    <w:rsid w:val="003C4532"/>
    <w:rsid w:val="003C723A"/>
    <w:rsid w:val="003C7919"/>
    <w:rsid w:val="003C7975"/>
    <w:rsid w:val="003C7B23"/>
    <w:rsid w:val="003D02A6"/>
    <w:rsid w:val="003D051F"/>
    <w:rsid w:val="003D09FB"/>
    <w:rsid w:val="003D0BBB"/>
    <w:rsid w:val="003D1068"/>
    <w:rsid w:val="003D2CC9"/>
    <w:rsid w:val="003D2D62"/>
    <w:rsid w:val="003D3590"/>
    <w:rsid w:val="003D3AE6"/>
    <w:rsid w:val="003D3BDB"/>
    <w:rsid w:val="003D790F"/>
    <w:rsid w:val="003D7ABF"/>
    <w:rsid w:val="003E04D0"/>
    <w:rsid w:val="003E05F1"/>
    <w:rsid w:val="003E060A"/>
    <w:rsid w:val="003E0730"/>
    <w:rsid w:val="003E0AE4"/>
    <w:rsid w:val="003E0F10"/>
    <w:rsid w:val="003E1ABC"/>
    <w:rsid w:val="003E2394"/>
    <w:rsid w:val="003E60CD"/>
    <w:rsid w:val="003E62A5"/>
    <w:rsid w:val="003E6919"/>
    <w:rsid w:val="003F161D"/>
    <w:rsid w:val="003F1B50"/>
    <w:rsid w:val="003F1C21"/>
    <w:rsid w:val="003F32A3"/>
    <w:rsid w:val="003F3F34"/>
    <w:rsid w:val="003F405D"/>
    <w:rsid w:val="003F54ED"/>
    <w:rsid w:val="003F64EE"/>
    <w:rsid w:val="003F672A"/>
    <w:rsid w:val="003F6CF0"/>
    <w:rsid w:val="003F6E69"/>
    <w:rsid w:val="003F7526"/>
    <w:rsid w:val="0040001B"/>
    <w:rsid w:val="00400732"/>
    <w:rsid w:val="00400D64"/>
    <w:rsid w:val="00400DEB"/>
    <w:rsid w:val="00401E42"/>
    <w:rsid w:val="00402136"/>
    <w:rsid w:val="0040295F"/>
    <w:rsid w:val="0040478C"/>
    <w:rsid w:val="004055F8"/>
    <w:rsid w:val="00405CB6"/>
    <w:rsid w:val="00405EE1"/>
    <w:rsid w:val="004070D2"/>
    <w:rsid w:val="00407F39"/>
    <w:rsid w:val="0041041A"/>
    <w:rsid w:val="00411443"/>
    <w:rsid w:val="0041170D"/>
    <w:rsid w:val="00412B41"/>
    <w:rsid w:val="00412D11"/>
    <w:rsid w:val="004138E1"/>
    <w:rsid w:val="00413BBA"/>
    <w:rsid w:val="00413C1E"/>
    <w:rsid w:val="004148C8"/>
    <w:rsid w:val="0041504B"/>
    <w:rsid w:val="00415852"/>
    <w:rsid w:val="0041662E"/>
    <w:rsid w:val="00416D63"/>
    <w:rsid w:val="00417342"/>
    <w:rsid w:val="00420DE9"/>
    <w:rsid w:val="0042112A"/>
    <w:rsid w:val="004212DD"/>
    <w:rsid w:val="00421A8B"/>
    <w:rsid w:val="00421BD5"/>
    <w:rsid w:val="00422784"/>
    <w:rsid w:val="004228FE"/>
    <w:rsid w:val="0042331F"/>
    <w:rsid w:val="004235E9"/>
    <w:rsid w:val="0042367D"/>
    <w:rsid w:val="004239D8"/>
    <w:rsid w:val="00423AAF"/>
    <w:rsid w:val="00424388"/>
    <w:rsid w:val="00424EE5"/>
    <w:rsid w:val="00425654"/>
    <w:rsid w:val="00430389"/>
    <w:rsid w:val="00430FAF"/>
    <w:rsid w:val="004312EA"/>
    <w:rsid w:val="0043158C"/>
    <w:rsid w:val="004319B9"/>
    <w:rsid w:val="004319C5"/>
    <w:rsid w:val="004329A8"/>
    <w:rsid w:val="00432D09"/>
    <w:rsid w:val="00432E20"/>
    <w:rsid w:val="00433550"/>
    <w:rsid w:val="00433C73"/>
    <w:rsid w:val="004358FF"/>
    <w:rsid w:val="00440875"/>
    <w:rsid w:val="004410AA"/>
    <w:rsid w:val="00442457"/>
    <w:rsid w:val="00442B1C"/>
    <w:rsid w:val="0044334D"/>
    <w:rsid w:val="00444259"/>
    <w:rsid w:val="00444CA7"/>
    <w:rsid w:val="00445737"/>
    <w:rsid w:val="0044634F"/>
    <w:rsid w:val="004468F3"/>
    <w:rsid w:val="00447854"/>
    <w:rsid w:val="00450A50"/>
    <w:rsid w:val="00450E96"/>
    <w:rsid w:val="00451456"/>
    <w:rsid w:val="0045153F"/>
    <w:rsid w:val="0045280E"/>
    <w:rsid w:val="00452B55"/>
    <w:rsid w:val="00452C23"/>
    <w:rsid w:val="004536E4"/>
    <w:rsid w:val="00453ABF"/>
    <w:rsid w:val="004542BB"/>
    <w:rsid w:val="00454F4D"/>
    <w:rsid w:val="00455086"/>
    <w:rsid w:val="00455AF0"/>
    <w:rsid w:val="004566F1"/>
    <w:rsid w:val="004575BD"/>
    <w:rsid w:val="0046047C"/>
    <w:rsid w:val="00461085"/>
    <w:rsid w:val="00461608"/>
    <w:rsid w:val="0046299B"/>
    <w:rsid w:val="00462D14"/>
    <w:rsid w:val="00462F3C"/>
    <w:rsid w:val="00463AC6"/>
    <w:rsid w:val="0046477D"/>
    <w:rsid w:val="00464C42"/>
    <w:rsid w:val="00464F16"/>
    <w:rsid w:val="00464F70"/>
    <w:rsid w:val="0046548D"/>
    <w:rsid w:val="00466BDE"/>
    <w:rsid w:val="0046723D"/>
    <w:rsid w:val="00467376"/>
    <w:rsid w:val="00467419"/>
    <w:rsid w:val="004677DE"/>
    <w:rsid w:val="0047063C"/>
    <w:rsid w:val="004708BF"/>
    <w:rsid w:val="004709CD"/>
    <w:rsid w:val="004711B1"/>
    <w:rsid w:val="00471255"/>
    <w:rsid w:val="0047167B"/>
    <w:rsid w:val="00471DCB"/>
    <w:rsid w:val="00473184"/>
    <w:rsid w:val="00474A10"/>
    <w:rsid w:val="00474FDA"/>
    <w:rsid w:val="0047531B"/>
    <w:rsid w:val="004762FC"/>
    <w:rsid w:val="00477108"/>
    <w:rsid w:val="00480425"/>
    <w:rsid w:val="00480962"/>
    <w:rsid w:val="0048154C"/>
    <w:rsid w:val="00481739"/>
    <w:rsid w:val="00481CD4"/>
    <w:rsid w:val="004828F8"/>
    <w:rsid w:val="00482DB5"/>
    <w:rsid w:val="004830D2"/>
    <w:rsid w:val="004834AD"/>
    <w:rsid w:val="00483C23"/>
    <w:rsid w:val="00484F24"/>
    <w:rsid w:val="00485025"/>
    <w:rsid w:val="004851B7"/>
    <w:rsid w:val="004856D4"/>
    <w:rsid w:val="00486BE5"/>
    <w:rsid w:val="00487A19"/>
    <w:rsid w:val="00487C10"/>
    <w:rsid w:val="00487CDB"/>
    <w:rsid w:val="00490232"/>
    <w:rsid w:val="00490441"/>
    <w:rsid w:val="0049046E"/>
    <w:rsid w:val="00490BAB"/>
    <w:rsid w:val="0049149F"/>
    <w:rsid w:val="00492CD1"/>
    <w:rsid w:val="004937A5"/>
    <w:rsid w:val="004938EE"/>
    <w:rsid w:val="00493CCC"/>
    <w:rsid w:val="0049417F"/>
    <w:rsid w:val="00494FE7"/>
    <w:rsid w:val="0049632C"/>
    <w:rsid w:val="00496922"/>
    <w:rsid w:val="00496BC1"/>
    <w:rsid w:val="004A066B"/>
    <w:rsid w:val="004A09F8"/>
    <w:rsid w:val="004A0B22"/>
    <w:rsid w:val="004A1DA9"/>
    <w:rsid w:val="004A3092"/>
    <w:rsid w:val="004A31D6"/>
    <w:rsid w:val="004A3A79"/>
    <w:rsid w:val="004A3DA9"/>
    <w:rsid w:val="004A45A8"/>
    <w:rsid w:val="004A5353"/>
    <w:rsid w:val="004A64BB"/>
    <w:rsid w:val="004A6529"/>
    <w:rsid w:val="004A6605"/>
    <w:rsid w:val="004A6E6E"/>
    <w:rsid w:val="004A7532"/>
    <w:rsid w:val="004A7777"/>
    <w:rsid w:val="004A7D27"/>
    <w:rsid w:val="004A7DD6"/>
    <w:rsid w:val="004B0AF8"/>
    <w:rsid w:val="004B0BB4"/>
    <w:rsid w:val="004B0D69"/>
    <w:rsid w:val="004B0E64"/>
    <w:rsid w:val="004B150D"/>
    <w:rsid w:val="004B1F0D"/>
    <w:rsid w:val="004B2062"/>
    <w:rsid w:val="004B256C"/>
    <w:rsid w:val="004B33E5"/>
    <w:rsid w:val="004B3876"/>
    <w:rsid w:val="004B470A"/>
    <w:rsid w:val="004B4EC8"/>
    <w:rsid w:val="004B565A"/>
    <w:rsid w:val="004B5A0E"/>
    <w:rsid w:val="004B5BBE"/>
    <w:rsid w:val="004B6601"/>
    <w:rsid w:val="004B6862"/>
    <w:rsid w:val="004B6E50"/>
    <w:rsid w:val="004B7E5F"/>
    <w:rsid w:val="004C000E"/>
    <w:rsid w:val="004C0756"/>
    <w:rsid w:val="004C108B"/>
    <w:rsid w:val="004C180F"/>
    <w:rsid w:val="004C254F"/>
    <w:rsid w:val="004C2D1C"/>
    <w:rsid w:val="004C2EB9"/>
    <w:rsid w:val="004C3671"/>
    <w:rsid w:val="004C525E"/>
    <w:rsid w:val="004C54BF"/>
    <w:rsid w:val="004C5A1C"/>
    <w:rsid w:val="004C6AFD"/>
    <w:rsid w:val="004C6F9A"/>
    <w:rsid w:val="004C750E"/>
    <w:rsid w:val="004D084F"/>
    <w:rsid w:val="004D1C5A"/>
    <w:rsid w:val="004D1CD2"/>
    <w:rsid w:val="004D1F31"/>
    <w:rsid w:val="004D2446"/>
    <w:rsid w:val="004D2894"/>
    <w:rsid w:val="004D2D64"/>
    <w:rsid w:val="004D362C"/>
    <w:rsid w:val="004D438F"/>
    <w:rsid w:val="004D4415"/>
    <w:rsid w:val="004D4A1A"/>
    <w:rsid w:val="004D50A7"/>
    <w:rsid w:val="004D53FC"/>
    <w:rsid w:val="004D7032"/>
    <w:rsid w:val="004D7259"/>
    <w:rsid w:val="004D75F3"/>
    <w:rsid w:val="004D79F0"/>
    <w:rsid w:val="004D7D50"/>
    <w:rsid w:val="004E0A94"/>
    <w:rsid w:val="004E14EF"/>
    <w:rsid w:val="004E1771"/>
    <w:rsid w:val="004E1AF7"/>
    <w:rsid w:val="004E23FF"/>
    <w:rsid w:val="004E26CE"/>
    <w:rsid w:val="004E2B89"/>
    <w:rsid w:val="004E360C"/>
    <w:rsid w:val="004E3AC3"/>
    <w:rsid w:val="004E462C"/>
    <w:rsid w:val="004E5F23"/>
    <w:rsid w:val="004E60A5"/>
    <w:rsid w:val="004E6164"/>
    <w:rsid w:val="004E77D0"/>
    <w:rsid w:val="004E7BFF"/>
    <w:rsid w:val="004F0CAA"/>
    <w:rsid w:val="004F0ED5"/>
    <w:rsid w:val="004F1FC4"/>
    <w:rsid w:val="004F2694"/>
    <w:rsid w:val="004F2D70"/>
    <w:rsid w:val="004F3A99"/>
    <w:rsid w:val="004F3DBE"/>
    <w:rsid w:val="004F4B6D"/>
    <w:rsid w:val="004F4E10"/>
    <w:rsid w:val="004F606F"/>
    <w:rsid w:val="004F642E"/>
    <w:rsid w:val="004F6F77"/>
    <w:rsid w:val="004F7B8E"/>
    <w:rsid w:val="004F7CA8"/>
    <w:rsid w:val="004F7F3F"/>
    <w:rsid w:val="00500C38"/>
    <w:rsid w:val="00501118"/>
    <w:rsid w:val="00502628"/>
    <w:rsid w:val="00502757"/>
    <w:rsid w:val="005027B0"/>
    <w:rsid w:val="00502AF2"/>
    <w:rsid w:val="00502C3B"/>
    <w:rsid w:val="00503A4D"/>
    <w:rsid w:val="00504818"/>
    <w:rsid w:val="00506AB9"/>
    <w:rsid w:val="00507598"/>
    <w:rsid w:val="005106AF"/>
    <w:rsid w:val="00511432"/>
    <w:rsid w:val="00511903"/>
    <w:rsid w:val="005134A3"/>
    <w:rsid w:val="00513F8F"/>
    <w:rsid w:val="005144BE"/>
    <w:rsid w:val="00514C7E"/>
    <w:rsid w:val="00515211"/>
    <w:rsid w:val="00515420"/>
    <w:rsid w:val="00515B85"/>
    <w:rsid w:val="00517ED6"/>
    <w:rsid w:val="0052066F"/>
    <w:rsid w:val="00520881"/>
    <w:rsid w:val="00520A18"/>
    <w:rsid w:val="00521E62"/>
    <w:rsid w:val="00521E67"/>
    <w:rsid w:val="00522259"/>
    <w:rsid w:val="00522E5B"/>
    <w:rsid w:val="005235D7"/>
    <w:rsid w:val="00523A94"/>
    <w:rsid w:val="00523DF3"/>
    <w:rsid w:val="0052408D"/>
    <w:rsid w:val="00524370"/>
    <w:rsid w:val="00524AB3"/>
    <w:rsid w:val="00524DBF"/>
    <w:rsid w:val="005257BF"/>
    <w:rsid w:val="005259B3"/>
    <w:rsid w:val="00526D63"/>
    <w:rsid w:val="00530016"/>
    <w:rsid w:val="00530509"/>
    <w:rsid w:val="00530776"/>
    <w:rsid w:val="00530BA0"/>
    <w:rsid w:val="005312A0"/>
    <w:rsid w:val="005327E8"/>
    <w:rsid w:val="00534017"/>
    <w:rsid w:val="005345AA"/>
    <w:rsid w:val="005346D4"/>
    <w:rsid w:val="00534C5F"/>
    <w:rsid w:val="00535BE6"/>
    <w:rsid w:val="00535F93"/>
    <w:rsid w:val="00536D7C"/>
    <w:rsid w:val="00543F2B"/>
    <w:rsid w:val="00544750"/>
    <w:rsid w:val="00544917"/>
    <w:rsid w:val="00544B3C"/>
    <w:rsid w:val="005458DD"/>
    <w:rsid w:val="00546321"/>
    <w:rsid w:val="00546EC4"/>
    <w:rsid w:val="00547024"/>
    <w:rsid w:val="00547079"/>
    <w:rsid w:val="0054742F"/>
    <w:rsid w:val="0054752A"/>
    <w:rsid w:val="005505E0"/>
    <w:rsid w:val="005511B7"/>
    <w:rsid w:val="00554748"/>
    <w:rsid w:val="00554E84"/>
    <w:rsid w:val="005551AF"/>
    <w:rsid w:val="005554CB"/>
    <w:rsid w:val="00555609"/>
    <w:rsid w:val="0055562E"/>
    <w:rsid w:val="005564CE"/>
    <w:rsid w:val="005564F6"/>
    <w:rsid w:val="00557EA0"/>
    <w:rsid w:val="00557F5D"/>
    <w:rsid w:val="0056083E"/>
    <w:rsid w:val="005609B1"/>
    <w:rsid w:val="00560A00"/>
    <w:rsid w:val="005610AF"/>
    <w:rsid w:val="005610F3"/>
    <w:rsid w:val="0056151F"/>
    <w:rsid w:val="00561A50"/>
    <w:rsid w:val="00562232"/>
    <w:rsid w:val="00563441"/>
    <w:rsid w:val="00563DF8"/>
    <w:rsid w:val="00563F93"/>
    <w:rsid w:val="0056436F"/>
    <w:rsid w:val="00564460"/>
    <w:rsid w:val="00564F68"/>
    <w:rsid w:val="00565252"/>
    <w:rsid w:val="005668E7"/>
    <w:rsid w:val="00567AE4"/>
    <w:rsid w:val="00567B1B"/>
    <w:rsid w:val="00570207"/>
    <w:rsid w:val="00570E39"/>
    <w:rsid w:val="005711AD"/>
    <w:rsid w:val="00571237"/>
    <w:rsid w:val="00572043"/>
    <w:rsid w:val="0057277A"/>
    <w:rsid w:val="00572DD2"/>
    <w:rsid w:val="00572E77"/>
    <w:rsid w:val="005736B2"/>
    <w:rsid w:val="00573C3F"/>
    <w:rsid w:val="00573D0C"/>
    <w:rsid w:val="005744BF"/>
    <w:rsid w:val="0057596B"/>
    <w:rsid w:val="00575FFD"/>
    <w:rsid w:val="00576000"/>
    <w:rsid w:val="00576255"/>
    <w:rsid w:val="00576534"/>
    <w:rsid w:val="005765EE"/>
    <w:rsid w:val="00576738"/>
    <w:rsid w:val="005778D1"/>
    <w:rsid w:val="00577E71"/>
    <w:rsid w:val="0058006D"/>
    <w:rsid w:val="005801E1"/>
    <w:rsid w:val="00580A04"/>
    <w:rsid w:val="0058193F"/>
    <w:rsid w:val="00582242"/>
    <w:rsid w:val="00582858"/>
    <w:rsid w:val="00583EB4"/>
    <w:rsid w:val="00583FFB"/>
    <w:rsid w:val="005846F2"/>
    <w:rsid w:val="00584D56"/>
    <w:rsid w:val="00584D83"/>
    <w:rsid w:val="00585987"/>
    <w:rsid w:val="00585B56"/>
    <w:rsid w:val="00585E3C"/>
    <w:rsid w:val="00587378"/>
    <w:rsid w:val="00590075"/>
    <w:rsid w:val="005901CC"/>
    <w:rsid w:val="005905B9"/>
    <w:rsid w:val="00591B61"/>
    <w:rsid w:val="00592526"/>
    <w:rsid w:val="0059373B"/>
    <w:rsid w:val="005941D5"/>
    <w:rsid w:val="005949B8"/>
    <w:rsid w:val="00596B4A"/>
    <w:rsid w:val="005A0021"/>
    <w:rsid w:val="005A0E9D"/>
    <w:rsid w:val="005A271C"/>
    <w:rsid w:val="005A28A9"/>
    <w:rsid w:val="005A31AA"/>
    <w:rsid w:val="005A32A8"/>
    <w:rsid w:val="005A4965"/>
    <w:rsid w:val="005A5094"/>
    <w:rsid w:val="005A5747"/>
    <w:rsid w:val="005A6A55"/>
    <w:rsid w:val="005A7578"/>
    <w:rsid w:val="005A7CA2"/>
    <w:rsid w:val="005A7E78"/>
    <w:rsid w:val="005A7FE8"/>
    <w:rsid w:val="005B0339"/>
    <w:rsid w:val="005B16E5"/>
    <w:rsid w:val="005B28CA"/>
    <w:rsid w:val="005B32A5"/>
    <w:rsid w:val="005B3F0D"/>
    <w:rsid w:val="005B484B"/>
    <w:rsid w:val="005B4EEE"/>
    <w:rsid w:val="005B5B6E"/>
    <w:rsid w:val="005B6194"/>
    <w:rsid w:val="005B63E8"/>
    <w:rsid w:val="005B6689"/>
    <w:rsid w:val="005B69F5"/>
    <w:rsid w:val="005B6EDD"/>
    <w:rsid w:val="005B7DBE"/>
    <w:rsid w:val="005C0320"/>
    <w:rsid w:val="005C06EA"/>
    <w:rsid w:val="005C1C36"/>
    <w:rsid w:val="005C2EB7"/>
    <w:rsid w:val="005C30CA"/>
    <w:rsid w:val="005C3308"/>
    <w:rsid w:val="005C3493"/>
    <w:rsid w:val="005C430E"/>
    <w:rsid w:val="005C5BDE"/>
    <w:rsid w:val="005C5F5A"/>
    <w:rsid w:val="005C646D"/>
    <w:rsid w:val="005C6B1A"/>
    <w:rsid w:val="005C7067"/>
    <w:rsid w:val="005C7154"/>
    <w:rsid w:val="005C71FD"/>
    <w:rsid w:val="005D0099"/>
    <w:rsid w:val="005D00D9"/>
    <w:rsid w:val="005D08B6"/>
    <w:rsid w:val="005D0CC3"/>
    <w:rsid w:val="005D1191"/>
    <w:rsid w:val="005D15E4"/>
    <w:rsid w:val="005D212B"/>
    <w:rsid w:val="005D2156"/>
    <w:rsid w:val="005D23C1"/>
    <w:rsid w:val="005D4487"/>
    <w:rsid w:val="005D56E6"/>
    <w:rsid w:val="005D65E2"/>
    <w:rsid w:val="005D6B51"/>
    <w:rsid w:val="005D6B7C"/>
    <w:rsid w:val="005D748C"/>
    <w:rsid w:val="005E066C"/>
    <w:rsid w:val="005E07E2"/>
    <w:rsid w:val="005E0DD3"/>
    <w:rsid w:val="005E2747"/>
    <w:rsid w:val="005E28DD"/>
    <w:rsid w:val="005E3086"/>
    <w:rsid w:val="005E3538"/>
    <w:rsid w:val="005E4595"/>
    <w:rsid w:val="005E4768"/>
    <w:rsid w:val="005E5893"/>
    <w:rsid w:val="005E5971"/>
    <w:rsid w:val="005E676E"/>
    <w:rsid w:val="005E6B38"/>
    <w:rsid w:val="005E6DCC"/>
    <w:rsid w:val="005E7059"/>
    <w:rsid w:val="005E72C2"/>
    <w:rsid w:val="005E72C9"/>
    <w:rsid w:val="005E7990"/>
    <w:rsid w:val="005E7BE5"/>
    <w:rsid w:val="005E7C0A"/>
    <w:rsid w:val="005F0C3C"/>
    <w:rsid w:val="005F0DFF"/>
    <w:rsid w:val="005F1EAE"/>
    <w:rsid w:val="005F2287"/>
    <w:rsid w:val="005F262F"/>
    <w:rsid w:val="005F3765"/>
    <w:rsid w:val="005F3D18"/>
    <w:rsid w:val="005F4F7D"/>
    <w:rsid w:val="005F5145"/>
    <w:rsid w:val="005F5656"/>
    <w:rsid w:val="005F6469"/>
    <w:rsid w:val="005F6630"/>
    <w:rsid w:val="00600F88"/>
    <w:rsid w:val="00601994"/>
    <w:rsid w:val="006019C7"/>
    <w:rsid w:val="00601A4F"/>
    <w:rsid w:val="00602074"/>
    <w:rsid w:val="00602251"/>
    <w:rsid w:val="00602AD3"/>
    <w:rsid w:val="006038B3"/>
    <w:rsid w:val="00604433"/>
    <w:rsid w:val="00605736"/>
    <w:rsid w:val="00605CDA"/>
    <w:rsid w:val="006060AA"/>
    <w:rsid w:val="00606D77"/>
    <w:rsid w:val="00607537"/>
    <w:rsid w:val="006104D7"/>
    <w:rsid w:val="00610B03"/>
    <w:rsid w:val="00611A0A"/>
    <w:rsid w:val="0061320F"/>
    <w:rsid w:val="00613F84"/>
    <w:rsid w:val="00614EDE"/>
    <w:rsid w:val="0061518A"/>
    <w:rsid w:val="006158CC"/>
    <w:rsid w:val="0061621A"/>
    <w:rsid w:val="00616C3E"/>
    <w:rsid w:val="00616E18"/>
    <w:rsid w:val="00616E3D"/>
    <w:rsid w:val="0061786F"/>
    <w:rsid w:val="00617967"/>
    <w:rsid w:val="00617BF1"/>
    <w:rsid w:val="006200C7"/>
    <w:rsid w:val="00620CF6"/>
    <w:rsid w:val="0062188A"/>
    <w:rsid w:val="00621A96"/>
    <w:rsid w:val="0062258A"/>
    <w:rsid w:val="00622630"/>
    <w:rsid w:val="00622A2D"/>
    <w:rsid w:val="0062372B"/>
    <w:rsid w:val="006238A9"/>
    <w:rsid w:val="00632473"/>
    <w:rsid w:val="00632E33"/>
    <w:rsid w:val="0063300B"/>
    <w:rsid w:val="00633BC6"/>
    <w:rsid w:val="00634D87"/>
    <w:rsid w:val="00635DD5"/>
    <w:rsid w:val="00636EB8"/>
    <w:rsid w:val="00636F34"/>
    <w:rsid w:val="0064032B"/>
    <w:rsid w:val="00641327"/>
    <w:rsid w:val="00641431"/>
    <w:rsid w:val="00641A92"/>
    <w:rsid w:val="00641D34"/>
    <w:rsid w:val="006428DF"/>
    <w:rsid w:val="0064442D"/>
    <w:rsid w:val="00644989"/>
    <w:rsid w:val="006453EA"/>
    <w:rsid w:val="00646BA7"/>
    <w:rsid w:val="00647307"/>
    <w:rsid w:val="00647975"/>
    <w:rsid w:val="00647C3D"/>
    <w:rsid w:val="00650068"/>
    <w:rsid w:val="006504AA"/>
    <w:rsid w:val="00650638"/>
    <w:rsid w:val="00650C33"/>
    <w:rsid w:val="00650DD7"/>
    <w:rsid w:val="00651292"/>
    <w:rsid w:val="00652123"/>
    <w:rsid w:val="006522C1"/>
    <w:rsid w:val="00652853"/>
    <w:rsid w:val="0065294A"/>
    <w:rsid w:val="00652FC9"/>
    <w:rsid w:val="006539C7"/>
    <w:rsid w:val="006541E9"/>
    <w:rsid w:val="00654A71"/>
    <w:rsid w:val="00656489"/>
    <w:rsid w:val="00656D38"/>
    <w:rsid w:val="00657312"/>
    <w:rsid w:val="00657FA9"/>
    <w:rsid w:val="006602D9"/>
    <w:rsid w:val="00661284"/>
    <w:rsid w:val="006627CD"/>
    <w:rsid w:val="00662C4E"/>
    <w:rsid w:val="00662C57"/>
    <w:rsid w:val="00664B8E"/>
    <w:rsid w:val="00664BFE"/>
    <w:rsid w:val="0066587C"/>
    <w:rsid w:val="006664C3"/>
    <w:rsid w:val="00666557"/>
    <w:rsid w:val="006702A7"/>
    <w:rsid w:val="00670417"/>
    <w:rsid w:val="00671E4C"/>
    <w:rsid w:val="00672143"/>
    <w:rsid w:val="00672CCA"/>
    <w:rsid w:val="00672DE4"/>
    <w:rsid w:val="0067425E"/>
    <w:rsid w:val="006746C0"/>
    <w:rsid w:val="00675D56"/>
    <w:rsid w:val="0067654E"/>
    <w:rsid w:val="00676FB7"/>
    <w:rsid w:val="00680331"/>
    <w:rsid w:val="006805AC"/>
    <w:rsid w:val="00680A87"/>
    <w:rsid w:val="00682239"/>
    <w:rsid w:val="00682596"/>
    <w:rsid w:val="006827C5"/>
    <w:rsid w:val="0068301A"/>
    <w:rsid w:val="00683350"/>
    <w:rsid w:val="00683497"/>
    <w:rsid w:val="006836E7"/>
    <w:rsid w:val="006847A5"/>
    <w:rsid w:val="0068488C"/>
    <w:rsid w:val="00684A92"/>
    <w:rsid w:val="00685144"/>
    <w:rsid w:val="006854AF"/>
    <w:rsid w:val="0068593A"/>
    <w:rsid w:val="0068599B"/>
    <w:rsid w:val="00686539"/>
    <w:rsid w:val="00686A1C"/>
    <w:rsid w:val="00687003"/>
    <w:rsid w:val="006879B6"/>
    <w:rsid w:val="00687B88"/>
    <w:rsid w:val="00692422"/>
    <w:rsid w:val="00694279"/>
    <w:rsid w:val="00694A53"/>
    <w:rsid w:val="00695736"/>
    <w:rsid w:val="006957DA"/>
    <w:rsid w:val="006962C1"/>
    <w:rsid w:val="006974CA"/>
    <w:rsid w:val="00697985"/>
    <w:rsid w:val="00697AC4"/>
    <w:rsid w:val="006A0312"/>
    <w:rsid w:val="006A0658"/>
    <w:rsid w:val="006A0F2E"/>
    <w:rsid w:val="006A1832"/>
    <w:rsid w:val="006A1BF5"/>
    <w:rsid w:val="006A226D"/>
    <w:rsid w:val="006A24B3"/>
    <w:rsid w:val="006A277A"/>
    <w:rsid w:val="006A3636"/>
    <w:rsid w:val="006A425C"/>
    <w:rsid w:val="006A45C0"/>
    <w:rsid w:val="006A4B04"/>
    <w:rsid w:val="006A509A"/>
    <w:rsid w:val="006A67D9"/>
    <w:rsid w:val="006A7D00"/>
    <w:rsid w:val="006B0871"/>
    <w:rsid w:val="006B1714"/>
    <w:rsid w:val="006B1BE0"/>
    <w:rsid w:val="006B274F"/>
    <w:rsid w:val="006B2F53"/>
    <w:rsid w:val="006B412A"/>
    <w:rsid w:val="006B4DE0"/>
    <w:rsid w:val="006B4E1D"/>
    <w:rsid w:val="006B5974"/>
    <w:rsid w:val="006B5FBE"/>
    <w:rsid w:val="006B6CD6"/>
    <w:rsid w:val="006B7664"/>
    <w:rsid w:val="006C0267"/>
    <w:rsid w:val="006C04EB"/>
    <w:rsid w:val="006C2548"/>
    <w:rsid w:val="006C268F"/>
    <w:rsid w:val="006C26B7"/>
    <w:rsid w:val="006C2F14"/>
    <w:rsid w:val="006C31CE"/>
    <w:rsid w:val="006C3313"/>
    <w:rsid w:val="006C337E"/>
    <w:rsid w:val="006C3994"/>
    <w:rsid w:val="006C4263"/>
    <w:rsid w:val="006C4F10"/>
    <w:rsid w:val="006C52DE"/>
    <w:rsid w:val="006C5530"/>
    <w:rsid w:val="006C57E9"/>
    <w:rsid w:val="006C5AB2"/>
    <w:rsid w:val="006C6163"/>
    <w:rsid w:val="006C687D"/>
    <w:rsid w:val="006C6DD6"/>
    <w:rsid w:val="006C7217"/>
    <w:rsid w:val="006D030C"/>
    <w:rsid w:val="006D07E3"/>
    <w:rsid w:val="006D0C28"/>
    <w:rsid w:val="006D2364"/>
    <w:rsid w:val="006D2490"/>
    <w:rsid w:val="006D4261"/>
    <w:rsid w:val="006D4878"/>
    <w:rsid w:val="006D4892"/>
    <w:rsid w:val="006D5665"/>
    <w:rsid w:val="006D5AD5"/>
    <w:rsid w:val="006D6D25"/>
    <w:rsid w:val="006E0401"/>
    <w:rsid w:val="006E061C"/>
    <w:rsid w:val="006E06A6"/>
    <w:rsid w:val="006E0D45"/>
    <w:rsid w:val="006E1C30"/>
    <w:rsid w:val="006E1EBC"/>
    <w:rsid w:val="006E2C89"/>
    <w:rsid w:val="006E2D71"/>
    <w:rsid w:val="006E47C6"/>
    <w:rsid w:val="006E48B1"/>
    <w:rsid w:val="006E4F28"/>
    <w:rsid w:val="006E5721"/>
    <w:rsid w:val="006E5BC7"/>
    <w:rsid w:val="006E692F"/>
    <w:rsid w:val="006E6ABB"/>
    <w:rsid w:val="006E73A4"/>
    <w:rsid w:val="006E7B57"/>
    <w:rsid w:val="006F0135"/>
    <w:rsid w:val="006F0FE0"/>
    <w:rsid w:val="006F1378"/>
    <w:rsid w:val="006F1AC0"/>
    <w:rsid w:val="006F1B33"/>
    <w:rsid w:val="006F2087"/>
    <w:rsid w:val="006F20E9"/>
    <w:rsid w:val="006F43E5"/>
    <w:rsid w:val="006F4C95"/>
    <w:rsid w:val="006F4E8D"/>
    <w:rsid w:val="006F5531"/>
    <w:rsid w:val="006F5DE7"/>
    <w:rsid w:val="006F7606"/>
    <w:rsid w:val="006F7E14"/>
    <w:rsid w:val="007000AF"/>
    <w:rsid w:val="0070102D"/>
    <w:rsid w:val="00701031"/>
    <w:rsid w:val="00701361"/>
    <w:rsid w:val="007019BA"/>
    <w:rsid w:val="00701A3A"/>
    <w:rsid w:val="007021DE"/>
    <w:rsid w:val="0070295B"/>
    <w:rsid w:val="00702D84"/>
    <w:rsid w:val="0070483E"/>
    <w:rsid w:val="00704D81"/>
    <w:rsid w:val="00705B59"/>
    <w:rsid w:val="00705B7B"/>
    <w:rsid w:val="00705BC0"/>
    <w:rsid w:val="00705E55"/>
    <w:rsid w:val="00705FB0"/>
    <w:rsid w:val="007066C5"/>
    <w:rsid w:val="00707428"/>
    <w:rsid w:val="00707D10"/>
    <w:rsid w:val="007108A0"/>
    <w:rsid w:val="00710B6F"/>
    <w:rsid w:val="007121A3"/>
    <w:rsid w:val="00712D23"/>
    <w:rsid w:val="0071342A"/>
    <w:rsid w:val="0071392E"/>
    <w:rsid w:val="00713E9E"/>
    <w:rsid w:val="00714040"/>
    <w:rsid w:val="00715F41"/>
    <w:rsid w:val="00716CF1"/>
    <w:rsid w:val="007176C8"/>
    <w:rsid w:val="00720A58"/>
    <w:rsid w:val="00720FE7"/>
    <w:rsid w:val="00721879"/>
    <w:rsid w:val="00721CAB"/>
    <w:rsid w:val="0072288C"/>
    <w:rsid w:val="00723A83"/>
    <w:rsid w:val="00724DDF"/>
    <w:rsid w:val="00725833"/>
    <w:rsid w:val="0072595E"/>
    <w:rsid w:val="00725D67"/>
    <w:rsid w:val="00725FE2"/>
    <w:rsid w:val="00730A22"/>
    <w:rsid w:val="0073183A"/>
    <w:rsid w:val="00732700"/>
    <w:rsid w:val="0073291F"/>
    <w:rsid w:val="00732973"/>
    <w:rsid w:val="00733212"/>
    <w:rsid w:val="00733E03"/>
    <w:rsid w:val="007344E5"/>
    <w:rsid w:val="00734A4D"/>
    <w:rsid w:val="00736F02"/>
    <w:rsid w:val="00736F70"/>
    <w:rsid w:val="00737B0F"/>
    <w:rsid w:val="007408AF"/>
    <w:rsid w:val="00741002"/>
    <w:rsid w:val="00741BB4"/>
    <w:rsid w:val="0074285E"/>
    <w:rsid w:val="00744350"/>
    <w:rsid w:val="0074523B"/>
    <w:rsid w:val="00745344"/>
    <w:rsid w:val="00746E48"/>
    <w:rsid w:val="0074708F"/>
    <w:rsid w:val="00747E1D"/>
    <w:rsid w:val="007505F0"/>
    <w:rsid w:val="0075086A"/>
    <w:rsid w:val="00750DBA"/>
    <w:rsid w:val="007512B9"/>
    <w:rsid w:val="00751CD5"/>
    <w:rsid w:val="00751E12"/>
    <w:rsid w:val="007523B0"/>
    <w:rsid w:val="00752C11"/>
    <w:rsid w:val="007536B8"/>
    <w:rsid w:val="00753E31"/>
    <w:rsid w:val="00753F40"/>
    <w:rsid w:val="007540D0"/>
    <w:rsid w:val="007540E9"/>
    <w:rsid w:val="00754D82"/>
    <w:rsid w:val="0075553A"/>
    <w:rsid w:val="00755BEA"/>
    <w:rsid w:val="00757C3F"/>
    <w:rsid w:val="00757F14"/>
    <w:rsid w:val="00757F79"/>
    <w:rsid w:val="00760CB9"/>
    <w:rsid w:val="00761051"/>
    <w:rsid w:val="00761745"/>
    <w:rsid w:val="0076204A"/>
    <w:rsid w:val="007638AC"/>
    <w:rsid w:val="00763C5B"/>
    <w:rsid w:val="00763F9D"/>
    <w:rsid w:val="00764A94"/>
    <w:rsid w:val="00765666"/>
    <w:rsid w:val="00766423"/>
    <w:rsid w:val="00766729"/>
    <w:rsid w:val="007669A0"/>
    <w:rsid w:val="00767C81"/>
    <w:rsid w:val="007708DE"/>
    <w:rsid w:val="00771283"/>
    <w:rsid w:val="00771E0B"/>
    <w:rsid w:val="00771E7C"/>
    <w:rsid w:val="00771F98"/>
    <w:rsid w:val="007721DF"/>
    <w:rsid w:val="007726E7"/>
    <w:rsid w:val="00773583"/>
    <w:rsid w:val="007735C9"/>
    <w:rsid w:val="00773BB6"/>
    <w:rsid w:val="007746A2"/>
    <w:rsid w:val="00776BB8"/>
    <w:rsid w:val="00777B91"/>
    <w:rsid w:val="0078026D"/>
    <w:rsid w:val="007808B4"/>
    <w:rsid w:val="0078254D"/>
    <w:rsid w:val="00782567"/>
    <w:rsid w:val="00782D46"/>
    <w:rsid w:val="0078492B"/>
    <w:rsid w:val="00784CA1"/>
    <w:rsid w:val="00784E84"/>
    <w:rsid w:val="00785554"/>
    <w:rsid w:val="0078582B"/>
    <w:rsid w:val="00786102"/>
    <w:rsid w:val="00786BF2"/>
    <w:rsid w:val="00786C5D"/>
    <w:rsid w:val="00786D45"/>
    <w:rsid w:val="00787302"/>
    <w:rsid w:val="007878D0"/>
    <w:rsid w:val="00787962"/>
    <w:rsid w:val="0078799E"/>
    <w:rsid w:val="00790290"/>
    <w:rsid w:val="00790BB6"/>
    <w:rsid w:val="007943F6"/>
    <w:rsid w:val="0079467A"/>
    <w:rsid w:val="00794BA7"/>
    <w:rsid w:val="00794DA8"/>
    <w:rsid w:val="0079554A"/>
    <w:rsid w:val="0079604D"/>
    <w:rsid w:val="00796428"/>
    <w:rsid w:val="00796AD5"/>
    <w:rsid w:val="00796D16"/>
    <w:rsid w:val="00796F9A"/>
    <w:rsid w:val="007971A2"/>
    <w:rsid w:val="007A16E6"/>
    <w:rsid w:val="007A1CDF"/>
    <w:rsid w:val="007A2574"/>
    <w:rsid w:val="007A3757"/>
    <w:rsid w:val="007A3E1B"/>
    <w:rsid w:val="007A3ECE"/>
    <w:rsid w:val="007A48BA"/>
    <w:rsid w:val="007A5264"/>
    <w:rsid w:val="007A5713"/>
    <w:rsid w:val="007A5799"/>
    <w:rsid w:val="007A61D0"/>
    <w:rsid w:val="007A6475"/>
    <w:rsid w:val="007A6C32"/>
    <w:rsid w:val="007A7183"/>
    <w:rsid w:val="007A772C"/>
    <w:rsid w:val="007A78D7"/>
    <w:rsid w:val="007A7D6D"/>
    <w:rsid w:val="007B0B0A"/>
    <w:rsid w:val="007B1255"/>
    <w:rsid w:val="007B342F"/>
    <w:rsid w:val="007B3EF7"/>
    <w:rsid w:val="007B4F21"/>
    <w:rsid w:val="007B4FD0"/>
    <w:rsid w:val="007B56AE"/>
    <w:rsid w:val="007B70D7"/>
    <w:rsid w:val="007C0819"/>
    <w:rsid w:val="007C0D1F"/>
    <w:rsid w:val="007C0E5B"/>
    <w:rsid w:val="007C1564"/>
    <w:rsid w:val="007C1CDA"/>
    <w:rsid w:val="007C2324"/>
    <w:rsid w:val="007C28EE"/>
    <w:rsid w:val="007C2928"/>
    <w:rsid w:val="007C29DE"/>
    <w:rsid w:val="007C2A48"/>
    <w:rsid w:val="007C2A4F"/>
    <w:rsid w:val="007C3B41"/>
    <w:rsid w:val="007C3D47"/>
    <w:rsid w:val="007C3E30"/>
    <w:rsid w:val="007C4F6A"/>
    <w:rsid w:val="007C56FC"/>
    <w:rsid w:val="007C60CE"/>
    <w:rsid w:val="007C645B"/>
    <w:rsid w:val="007C680D"/>
    <w:rsid w:val="007C6A75"/>
    <w:rsid w:val="007C743E"/>
    <w:rsid w:val="007C7B88"/>
    <w:rsid w:val="007C7E49"/>
    <w:rsid w:val="007D39F1"/>
    <w:rsid w:val="007D4220"/>
    <w:rsid w:val="007D59AF"/>
    <w:rsid w:val="007D5D93"/>
    <w:rsid w:val="007D5E29"/>
    <w:rsid w:val="007D61E1"/>
    <w:rsid w:val="007D6F34"/>
    <w:rsid w:val="007D714D"/>
    <w:rsid w:val="007D763B"/>
    <w:rsid w:val="007D787F"/>
    <w:rsid w:val="007E14F4"/>
    <w:rsid w:val="007E2C04"/>
    <w:rsid w:val="007E3DD7"/>
    <w:rsid w:val="007E3ED2"/>
    <w:rsid w:val="007E66A1"/>
    <w:rsid w:val="007E6A54"/>
    <w:rsid w:val="007E6E01"/>
    <w:rsid w:val="007E7858"/>
    <w:rsid w:val="007F02BE"/>
    <w:rsid w:val="007F0E02"/>
    <w:rsid w:val="007F15CA"/>
    <w:rsid w:val="007F1E92"/>
    <w:rsid w:val="007F2117"/>
    <w:rsid w:val="007F2DB5"/>
    <w:rsid w:val="007F3933"/>
    <w:rsid w:val="007F4C0F"/>
    <w:rsid w:val="007F5DF2"/>
    <w:rsid w:val="007F5E20"/>
    <w:rsid w:val="007F6B26"/>
    <w:rsid w:val="0080060F"/>
    <w:rsid w:val="00800CBF"/>
    <w:rsid w:val="0080194F"/>
    <w:rsid w:val="00802B62"/>
    <w:rsid w:val="00803339"/>
    <w:rsid w:val="008035AB"/>
    <w:rsid w:val="00803D67"/>
    <w:rsid w:val="008042D5"/>
    <w:rsid w:val="00805051"/>
    <w:rsid w:val="00805AA4"/>
    <w:rsid w:val="00805E40"/>
    <w:rsid w:val="00806609"/>
    <w:rsid w:val="00807674"/>
    <w:rsid w:val="00807AFC"/>
    <w:rsid w:val="00810876"/>
    <w:rsid w:val="00810D72"/>
    <w:rsid w:val="00811693"/>
    <w:rsid w:val="0081192C"/>
    <w:rsid w:val="00812326"/>
    <w:rsid w:val="008131CB"/>
    <w:rsid w:val="00813288"/>
    <w:rsid w:val="00813BA1"/>
    <w:rsid w:val="00814137"/>
    <w:rsid w:val="00814783"/>
    <w:rsid w:val="00814B21"/>
    <w:rsid w:val="00815B17"/>
    <w:rsid w:val="008166E5"/>
    <w:rsid w:val="008171AB"/>
    <w:rsid w:val="00817C47"/>
    <w:rsid w:val="00817C53"/>
    <w:rsid w:val="0082098F"/>
    <w:rsid w:val="00820C48"/>
    <w:rsid w:val="0082312D"/>
    <w:rsid w:val="00823ADB"/>
    <w:rsid w:val="008245E1"/>
    <w:rsid w:val="0082585E"/>
    <w:rsid w:val="00826228"/>
    <w:rsid w:val="00826BFA"/>
    <w:rsid w:val="00830BEA"/>
    <w:rsid w:val="00830FEE"/>
    <w:rsid w:val="008312AB"/>
    <w:rsid w:val="00833905"/>
    <w:rsid w:val="00833E2B"/>
    <w:rsid w:val="0083530F"/>
    <w:rsid w:val="00836A4A"/>
    <w:rsid w:val="00836A81"/>
    <w:rsid w:val="00837520"/>
    <w:rsid w:val="0083798D"/>
    <w:rsid w:val="0084038B"/>
    <w:rsid w:val="00841051"/>
    <w:rsid w:val="00843B0A"/>
    <w:rsid w:val="00844E30"/>
    <w:rsid w:val="00845F46"/>
    <w:rsid w:val="00845F67"/>
    <w:rsid w:val="00846574"/>
    <w:rsid w:val="00846672"/>
    <w:rsid w:val="0084749B"/>
    <w:rsid w:val="00847851"/>
    <w:rsid w:val="0085055F"/>
    <w:rsid w:val="008508D8"/>
    <w:rsid w:val="008510CA"/>
    <w:rsid w:val="008524BB"/>
    <w:rsid w:val="0085283F"/>
    <w:rsid w:val="00852BAD"/>
    <w:rsid w:val="00852CDE"/>
    <w:rsid w:val="008533BC"/>
    <w:rsid w:val="00853432"/>
    <w:rsid w:val="00854126"/>
    <w:rsid w:val="00854F8D"/>
    <w:rsid w:val="008559A2"/>
    <w:rsid w:val="00856C85"/>
    <w:rsid w:val="008604DA"/>
    <w:rsid w:val="00860E0F"/>
    <w:rsid w:val="00861090"/>
    <w:rsid w:val="008636A6"/>
    <w:rsid w:val="00864F60"/>
    <w:rsid w:val="00865219"/>
    <w:rsid w:val="008652F5"/>
    <w:rsid w:val="00865AF9"/>
    <w:rsid w:val="00866E9F"/>
    <w:rsid w:val="00867774"/>
    <w:rsid w:val="0087193C"/>
    <w:rsid w:val="00871B36"/>
    <w:rsid w:val="008747ED"/>
    <w:rsid w:val="0087505F"/>
    <w:rsid w:val="008755C2"/>
    <w:rsid w:val="00875B7C"/>
    <w:rsid w:val="0087620C"/>
    <w:rsid w:val="00876F29"/>
    <w:rsid w:val="00876FF2"/>
    <w:rsid w:val="008809B3"/>
    <w:rsid w:val="008812B2"/>
    <w:rsid w:val="00881746"/>
    <w:rsid w:val="00881E1E"/>
    <w:rsid w:val="0088212D"/>
    <w:rsid w:val="008831D6"/>
    <w:rsid w:val="0088325E"/>
    <w:rsid w:val="00884C42"/>
    <w:rsid w:val="00885026"/>
    <w:rsid w:val="008853BA"/>
    <w:rsid w:val="00885636"/>
    <w:rsid w:val="00885A8A"/>
    <w:rsid w:val="00885B12"/>
    <w:rsid w:val="00885CE2"/>
    <w:rsid w:val="00886263"/>
    <w:rsid w:val="008874A0"/>
    <w:rsid w:val="008874A8"/>
    <w:rsid w:val="00887F9F"/>
    <w:rsid w:val="008918A2"/>
    <w:rsid w:val="0089262B"/>
    <w:rsid w:val="00892DD1"/>
    <w:rsid w:val="00892F98"/>
    <w:rsid w:val="00894748"/>
    <w:rsid w:val="00894A3A"/>
    <w:rsid w:val="008A0141"/>
    <w:rsid w:val="008A0C13"/>
    <w:rsid w:val="008A1D91"/>
    <w:rsid w:val="008A1E08"/>
    <w:rsid w:val="008A294F"/>
    <w:rsid w:val="008A2B9C"/>
    <w:rsid w:val="008A2C1C"/>
    <w:rsid w:val="008A3A1B"/>
    <w:rsid w:val="008A4BEA"/>
    <w:rsid w:val="008A51A7"/>
    <w:rsid w:val="008A5A76"/>
    <w:rsid w:val="008A5FCE"/>
    <w:rsid w:val="008A698D"/>
    <w:rsid w:val="008A6B19"/>
    <w:rsid w:val="008A761C"/>
    <w:rsid w:val="008A7721"/>
    <w:rsid w:val="008A78ED"/>
    <w:rsid w:val="008B0115"/>
    <w:rsid w:val="008B1729"/>
    <w:rsid w:val="008B37A1"/>
    <w:rsid w:val="008B3C4D"/>
    <w:rsid w:val="008B4296"/>
    <w:rsid w:val="008B4A88"/>
    <w:rsid w:val="008B4C3C"/>
    <w:rsid w:val="008B5F14"/>
    <w:rsid w:val="008B620B"/>
    <w:rsid w:val="008B636F"/>
    <w:rsid w:val="008B6A7D"/>
    <w:rsid w:val="008B6B48"/>
    <w:rsid w:val="008B6EAD"/>
    <w:rsid w:val="008B6F35"/>
    <w:rsid w:val="008B759D"/>
    <w:rsid w:val="008B7C91"/>
    <w:rsid w:val="008B7E4E"/>
    <w:rsid w:val="008C2586"/>
    <w:rsid w:val="008C2838"/>
    <w:rsid w:val="008C285C"/>
    <w:rsid w:val="008C295E"/>
    <w:rsid w:val="008C359B"/>
    <w:rsid w:val="008C476A"/>
    <w:rsid w:val="008C488C"/>
    <w:rsid w:val="008C5426"/>
    <w:rsid w:val="008C5C45"/>
    <w:rsid w:val="008C6497"/>
    <w:rsid w:val="008C6CAC"/>
    <w:rsid w:val="008C7632"/>
    <w:rsid w:val="008D06CE"/>
    <w:rsid w:val="008D17EF"/>
    <w:rsid w:val="008D2192"/>
    <w:rsid w:val="008D23A8"/>
    <w:rsid w:val="008D396E"/>
    <w:rsid w:val="008D53C0"/>
    <w:rsid w:val="008D581B"/>
    <w:rsid w:val="008D626A"/>
    <w:rsid w:val="008E06F3"/>
    <w:rsid w:val="008E1CFB"/>
    <w:rsid w:val="008E2022"/>
    <w:rsid w:val="008E215C"/>
    <w:rsid w:val="008E2370"/>
    <w:rsid w:val="008E25F8"/>
    <w:rsid w:val="008E3E0F"/>
    <w:rsid w:val="008E4390"/>
    <w:rsid w:val="008E4831"/>
    <w:rsid w:val="008E4C85"/>
    <w:rsid w:val="008E5C2C"/>
    <w:rsid w:val="008E6167"/>
    <w:rsid w:val="008E757A"/>
    <w:rsid w:val="008F07A3"/>
    <w:rsid w:val="008F0D5F"/>
    <w:rsid w:val="008F0E6B"/>
    <w:rsid w:val="008F1299"/>
    <w:rsid w:val="008F13DE"/>
    <w:rsid w:val="008F151E"/>
    <w:rsid w:val="008F21B9"/>
    <w:rsid w:val="008F349A"/>
    <w:rsid w:val="008F3562"/>
    <w:rsid w:val="008F3575"/>
    <w:rsid w:val="008F393E"/>
    <w:rsid w:val="008F3AB3"/>
    <w:rsid w:val="008F44DB"/>
    <w:rsid w:val="008F51A0"/>
    <w:rsid w:val="008F52E1"/>
    <w:rsid w:val="008F6C59"/>
    <w:rsid w:val="008F7EC9"/>
    <w:rsid w:val="009006EA"/>
    <w:rsid w:val="00902750"/>
    <w:rsid w:val="009028AB"/>
    <w:rsid w:val="00902CDD"/>
    <w:rsid w:val="00903117"/>
    <w:rsid w:val="0090496C"/>
    <w:rsid w:val="00904D12"/>
    <w:rsid w:val="00904F41"/>
    <w:rsid w:val="009050DE"/>
    <w:rsid w:val="00905816"/>
    <w:rsid w:val="00905E7C"/>
    <w:rsid w:val="009065E7"/>
    <w:rsid w:val="00906D3A"/>
    <w:rsid w:val="00907CDD"/>
    <w:rsid w:val="00911B2C"/>
    <w:rsid w:val="00911F8C"/>
    <w:rsid w:val="0091315A"/>
    <w:rsid w:val="0091343E"/>
    <w:rsid w:val="00914F48"/>
    <w:rsid w:val="00915BDC"/>
    <w:rsid w:val="009168E1"/>
    <w:rsid w:val="00917B08"/>
    <w:rsid w:val="00917F7B"/>
    <w:rsid w:val="00921EE1"/>
    <w:rsid w:val="00922A39"/>
    <w:rsid w:val="0092347C"/>
    <w:rsid w:val="009234C7"/>
    <w:rsid w:val="00924BDA"/>
    <w:rsid w:val="00925796"/>
    <w:rsid w:val="00925B31"/>
    <w:rsid w:val="00926718"/>
    <w:rsid w:val="00930313"/>
    <w:rsid w:val="00930D4D"/>
    <w:rsid w:val="0093136F"/>
    <w:rsid w:val="009313DA"/>
    <w:rsid w:val="00931935"/>
    <w:rsid w:val="00931CE6"/>
    <w:rsid w:val="00931FC7"/>
    <w:rsid w:val="0093271C"/>
    <w:rsid w:val="00932969"/>
    <w:rsid w:val="009338CF"/>
    <w:rsid w:val="00933F5B"/>
    <w:rsid w:val="00935EB3"/>
    <w:rsid w:val="0093606F"/>
    <w:rsid w:val="00936B36"/>
    <w:rsid w:val="00940197"/>
    <w:rsid w:val="00940A67"/>
    <w:rsid w:val="0094119E"/>
    <w:rsid w:val="009415C6"/>
    <w:rsid w:val="0094294C"/>
    <w:rsid w:val="0094306E"/>
    <w:rsid w:val="00944541"/>
    <w:rsid w:val="00945DAE"/>
    <w:rsid w:val="00946C88"/>
    <w:rsid w:val="009479C4"/>
    <w:rsid w:val="00951FA8"/>
    <w:rsid w:val="009532B6"/>
    <w:rsid w:val="0095355D"/>
    <w:rsid w:val="009536AD"/>
    <w:rsid w:val="00953802"/>
    <w:rsid w:val="00955288"/>
    <w:rsid w:val="009559C1"/>
    <w:rsid w:val="00956726"/>
    <w:rsid w:val="009569D2"/>
    <w:rsid w:val="00956BC6"/>
    <w:rsid w:val="00956D9A"/>
    <w:rsid w:val="00960062"/>
    <w:rsid w:val="00960706"/>
    <w:rsid w:val="00961C6D"/>
    <w:rsid w:val="0096295C"/>
    <w:rsid w:val="00962FD6"/>
    <w:rsid w:val="00966920"/>
    <w:rsid w:val="00966A69"/>
    <w:rsid w:val="00966E69"/>
    <w:rsid w:val="009700C2"/>
    <w:rsid w:val="00970445"/>
    <w:rsid w:val="009710D1"/>
    <w:rsid w:val="00971204"/>
    <w:rsid w:val="009717C9"/>
    <w:rsid w:val="00971EFA"/>
    <w:rsid w:val="009720CC"/>
    <w:rsid w:val="009721BE"/>
    <w:rsid w:val="0097270D"/>
    <w:rsid w:val="00972809"/>
    <w:rsid w:val="00973293"/>
    <w:rsid w:val="00974419"/>
    <w:rsid w:val="00974857"/>
    <w:rsid w:val="0097550C"/>
    <w:rsid w:val="00975D5B"/>
    <w:rsid w:val="00975E4C"/>
    <w:rsid w:val="00975E76"/>
    <w:rsid w:val="00977364"/>
    <w:rsid w:val="009774E5"/>
    <w:rsid w:val="00977F0F"/>
    <w:rsid w:val="00980E2D"/>
    <w:rsid w:val="009817F6"/>
    <w:rsid w:val="009826B0"/>
    <w:rsid w:val="009827DF"/>
    <w:rsid w:val="00982C22"/>
    <w:rsid w:val="009837AE"/>
    <w:rsid w:val="00984017"/>
    <w:rsid w:val="00984297"/>
    <w:rsid w:val="0098453E"/>
    <w:rsid w:val="009845F5"/>
    <w:rsid w:val="00984B52"/>
    <w:rsid w:val="00984BDA"/>
    <w:rsid w:val="00985784"/>
    <w:rsid w:val="00985BC2"/>
    <w:rsid w:val="00985DEE"/>
    <w:rsid w:val="00986D25"/>
    <w:rsid w:val="00986FD3"/>
    <w:rsid w:val="0098735C"/>
    <w:rsid w:val="009879ED"/>
    <w:rsid w:val="00987FCE"/>
    <w:rsid w:val="009901B2"/>
    <w:rsid w:val="009904DD"/>
    <w:rsid w:val="0099066E"/>
    <w:rsid w:val="00990735"/>
    <w:rsid w:val="0099230A"/>
    <w:rsid w:val="00992560"/>
    <w:rsid w:val="00992C0E"/>
    <w:rsid w:val="00992FF8"/>
    <w:rsid w:val="00993B99"/>
    <w:rsid w:val="00994079"/>
    <w:rsid w:val="00994B15"/>
    <w:rsid w:val="009959DD"/>
    <w:rsid w:val="00995A38"/>
    <w:rsid w:val="009965B1"/>
    <w:rsid w:val="00997393"/>
    <w:rsid w:val="00997AF2"/>
    <w:rsid w:val="009A0271"/>
    <w:rsid w:val="009A1558"/>
    <w:rsid w:val="009A1A8F"/>
    <w:rsid w:val="009A2FA7"/>
    <w:rsid w:val="009A33DD"/>
    <w:rsid w:val="009A47A7"/>
    <w:rsid w:val="009A553F"/>
    <w:rsid w:val="009A701F"/>
    <w:rsid w:val="009A77D9"/>
    <w:rsid w:val="009B06D5"/>
    <w:rsid w:val="009B084F"/>
    <w:rsid w:val="009B0C55"/>
    <w:rsid w:val="009B1A3E"/>
    <w:rsid w:val="009B23BA"/>
    <w:rsid w:val="009B2A3D"/>
    <w:rsid w:val="009B3133"/>
    <w:rsid w:val="009B3EFC"/>
    <w:rsid w:val="009B4150"/>
    <w:rsid w:val="009B420E"/>
    <w:rsid w:val="009B575D"/>
    <w:rsid w:val="009B5DD7"/>
    <w:rsid w:val="009B6011"/>
    <w:rsid w:val="009B6DB6"/>
    <w:rsid w:val="009B7666"/>
    <w:rsid w:val="009C021B"/>
    <w:rsid w:val="009C1290"/>
    <w:rsid w:val="009C1EF2"/>
    <w:rsid w:val="009C334D"/>
    <w:rsid w:val="009C3701"/>
    <w:rsid w:val="009C3FE4"/>
    <w:rsid w:val="009C47FF"/>
    <w:rsid w:val="009C5845"/>
    <w:rsid w:val="009C67A4"/>
    <w:rsid w:val="009D0463"/>
    <w:rsid w:val="009D0A0E"/>
    <w:rsid w:val="009D0D6F"/>
    <w:rsid w:val="009D174A"/>
    <w:rsid w:val="009D17B3"/>
    <w:rsid w:val="009D220C"/>
    <w:rsid w:val="009D2952"/>
    <w:rsid w:val="009D2A74"/>
    <w:rsid w:val="009D4375"/>
    <w:rsid w:val="009D49B2"/>
    <w:rsid w:val="009D4ACA"/>
    <w:rsid w:val="009D4E8C"/>
    <w:rsid w:val="009D5975"/>
    <w:rsid w:val="009D65C7"/>
    <w:rsid w:val="009D67D2"/>
    <w:rsid w:val="009D6B13"/>
    <w:rsid w:val="009E0D0B"/>
    <w:rsid w:val="009E1093"/>
    <w:rsid w:val="009E1A63"/>
    <w:rsid w:val="009E1EC4"/>
    <w:rsid w:val="009E28D8"/>
    <w:rsid w:val="009E3452"/>
    <w:rsid w:val="009E4897"/>
    <w:rsid w:val="009E4B9D"/>
    <w:rsid w:val="009E4FC4"/>
    <w:rsid w:val="009E7000"/>
    <w:rsid w:val="009E77AF"/>
    <w:rsid w:val="009E7852"/>
    <w:rsid w:val="009E7B44"/>
    <w:rsid w:val="009E7DDA"/>
    <w:rsid w:val="009E7E8A"/>
    <w:rsid w:val="009F07B7"/>
    <w:rsid w:val="009F14C4"/>
    <w:rsid w:val="009F1566"/>
    <w:rsid w:val="009F23AC"/>
    <w:rsid w:val="009F298D"/>
    <w:rsid w:val="009F2DFA"/>
    <w:rsid w:val="009F3203"/>
    <w:rsid w:val="009F34BC"/>
    <w:rsid w:val="009F374B"/>
    <w:rsid w:val="009F4F39"/>
    <w:rsid w:val="009F5064"/>
    <w:rsid w:val="009F5120"/>
    <w:rsid w:val="009F52EC"/>
    <w:rsid w:val="009F5FA4"/>
    <w:rsid w:val="009F6F35"/>
    <w:rsid w:val="009F7075"/>
    <w:rsid w:val="009F744A"/>
    <w:rsid w:val="009F760A"/>
    <w:rsid w:val="009F7832"/>
    <w:rsid w:val="009F7DE7"/>
    <w:rsid w:val="00A00A0D"/>
    <w:rsid w:val="00A00EAF"/>
    <w:rsid w:val="00A00F19"/>
    <w:rsid w:val="00A02E9F"/>
    <w:rsid w:val="00A03103"/>
    <w:rsid w:val="00A03244"/>
    <w:rsid w:val="00A03945"/>
    <w:rsid w:val="00A0426D"/>
    <w:rsid w:val="00A04D47"/>
    <w:rsid w:val="00A04F00"/>
    <w:rsid w:val="00A054C5"/>
    <w:rsid w:val="00A058D6"/>
    <w:rsid w:val="00A06953"/>
    <w:rsid w:val="00A0734D"/>
    <w:rsid w:val="00A07871"/>
    <w:rsid w:val="00A07891"/>
    <w:rsid w:val="00A11084"/>
    <w:rsid w:val="00A1120D"/>
    <w:rsid w:val="00A113BB"/>
    <w:rsid w:val="00A11769"/>
    <w:rsid w:val="00A1213B"/>
    <w:rsid w:val="00A126FA"/>
    <w:rsid w:val="00A12F64"/>
    <w:rsid w:val="00A138BF"/>
    <w:rsid w:val="00A1393E"/>
    <w:rsid w:val="00A13E24"/>
    <w:rsid w:val="00A142BE"/>
    <w:rsid w:val="00A14B60"/>
    <w:rsid w:val="00A14C40"/>
    <w:rsid w:val="00A15F6F"/>
    <w:rsid w:val="00A1675D"/>
    <w:rsid w:val="00A16B01"/>
    <w:rsid w:val="00A204F3"/>
    <w:rsid w:val="00A20530"/>
    <w:rsid w:val="00A20F4E"/>
    <w:rsid w:val="00A2131E"/>
    <w:rsid w:val="00A224F9"/>
    <w:rsid w:val="00A23208"/>
    <w:rsid w:val="00A234BB"/>
    <w:rsid w:val="00A236E3"/>
    <w:rsid w:val="00A240F3"/>
    <w:rsid w:val="00A242F9"/>
    <w:rsid w:val="00A2466A"/>
    <w:rsid w:val="00A2511D"/>
    <w:rsid w:val="00A252D3"/>
    <w:rsid w:val="00A25618"/>
    <w:rsid w:val="00A2632A"/>
    <w:rsid w:val="00A27209"/>
    <w:rsid w:val="00A27567"/>
    <w:rsid w:val="00A313AB"/>
    <w:rsid w:val="00A3182B"/>
    <w:rsid w:val="00A33015"/>
    <w:rsid w:val="00A33457"/>
    <w:rsid w:val="00A34613"/>
    <w:rsid w:val="00A35148"/>
    <w:rsid w:val="00A367BA"/>
    <w:rsid w:val="00A3755A"/>
    <w:rsid w:val="00A37A9B"/>
    <w:rsid w:val="00A406C9"/>
    <w:rsid w:val="00A40B28"/>
    <w:rsid w:val="00A419B5"/>
    <w:rsid w:val="00A41F3A"/>
    <w:rsid w:val="00A425DB"/>
    <w:rsid w:val="00A43536"/>
    <w:rsid w:val="00A446E7"/>
    <w:rsid w:val="00A45209"/>
    <w:rsid w:val="00A457AD"/>
    <w:rsid w:val="00A46020"/>
    <w:rsid w:val="00A500F8"/>
    <w:rsid w:val="00A506B4"/>
    <w:rsid w:val="00A516A8"/>
    <w:rsid w:val="00A51793"/>
    <w:rsid w:val="00A5262D"/>
    <w:rsid w:val="00A52788"/>
    <w:rsid w:val="00A54023"/>
    <w:rsid w:val="00A54124"/>
    <w:rsid w:val="00A54897"/>
    <w:rsid w:val="00A5539E"/>
    <w:rsid w:val="00A55A02"/>
    <w:rsid w:val="00A55D24"/>
    <w:rsid w:val="00A55DDB"/>
    <w:rsid w:val="00A564D0"/>
    <w:rsid w:val="00A565E3"/>
    <w:rsid w:val="00A567E8"/>
    <w:rsid w:val="00A57F13"/>
    <w:rsid w:val="00A57FC5"/>
    <w:rsid w:val="00A616A5"/>
    <w:rsid w:val="00A61ADA"/>
    <w:rsid w:val="00A62641"/>
    <w:rsid w:val="00A627BE"/>
    <w:rsid w:val="00A62ACA"/>
    <w:rsid w:val="00A62F1D"/>
    <w:rsid w:val="00A634AF"/>
    <w:rsid w:val="00A6396C"/>
    <w:rsid w:val="00A63DE6"/>
    <w:rsid w:val="00A64554"/>
    <w:rsid w:val="00A6470C"/>
    <w:rsid w:val="00A656AE"/>
    <w:rsid w:val="00A66160"/>
    <w:rsid w:val="00A66307"/>
    <w:rsid w:val="00A669B3"/>
    <w:rsid w:val="00A66A42"/>
    <w:rsid w:val="00A66D2E"/>
    <w:rsid w:val="00A66DE8"/>
    <w:rsid w:val="00A672AC"/>
    <w:rsid w:val="00A67DDF"/>
    <w:rsid w:val="00A67E0C"/>
    <w:rsid w:val="00A67F44"/>
    <w:rsid w:val="00A70550"/>
    <w:rsid w:val="00A7191B"/>
    <w:rsid w:val="00A72424"/>
    <w:rsid w:val="00A74F94"/>
    <w:rsid w:val="00A75164"/>
    <w:rsid w:val="00A759B1"/>
    <w:rsid w:val="00A76497"/>
    <w:rsid w:val="00A77F0A"/>
    <w:rsid w:val="00A803A5"/>
    <w:rsid w:val="00A80B5B"/>
    <w:rsid w:val="00A814BB"/>
    <w:rsid w:val="00A82728"/>
    <w:rsid w:val="00A829D0"/>
    <w:rsid w:val="00A82B56"/>
    <w:rsid w:val="00A835BB"/>
    <w:rsid w:val="00A84BF6"/>
    <w:rsid w:val="00A85015"/>
    <w:rsid w:val="00A85164"/>
    <w:rsid w:val="00A85176"/>
    <w:rsid w:val="00A8539F"/>
    <w:rsid w:val="00A8585F"/>
    <w:rsid w:val="00A858F4"/>
    <w:rsid w:val="00A85A5A"/>
    <w:rsid w:val="00A86233"/>
    <w:rsid w:val="00A86B67"/>
    <w:rsid w:val="00A870CA"/>
    <w:rsid w:val="00A87C54"/>
    <w:rsid w:val="00A90123"/>
    <w:rsid w:val="00A9089F"/>
    <w:rsid w:val="00A91038"/>
    <w:rsid w:val="00A92467"/>
    <w:rsid w:val="00A928E5"/>
    <w:rsid w:val="00A934FE"/>
    <w:rsid w:val="00A9426F"/>
    <w:rsid w:val="00A94502"/>
    <w:rsid w:val="00A950AA"/>
    <w:rsid w:val="00A953D4"/>
    <w:rsid w:val="00A95EBC"/>
    <w:rsid w:val="00A961D7"/>
    <w:rsid w:val="00A97072"/>
    <w:rsid w:val="00A97D9B"/>
    <w:rsid w:val="00AA2089"/>
    <w:rsid w:val="00AA2589"/>
    <w:rsid w:val="00AA3FC6"/>
    <w:rsid w:val="00AA4A20"/>
    <w:rsid w:val="00AA530B"/>
    <w:rsid w:val="00AA5E77"/>
    <w:rsid w:val="00AA61A4"/>
    <w:rsid w:val="00AA6AFE"/>
    <w:rsid w:val="00AA6D1A"/>
    <w:rsid w:val="00AA7625"/>
    <w:rsid w:val="00AB1787"/>
    <w:rsid w:val="00AB2332"/>
    <w:rsid w:val="00AB3AF0"/>
    <w:rsid w:val="00AB3D27"/>
    <w:rsid w:val="00AB3FF4"/>
    <w:rsid w:val="00AB5521"/>
    <w:rsid w:val="00AB5690"/>
    <w:rsid w:val="00AB58C9"/>
    <w:rsid w:val="00AB6B00"/>
    <w:rsid w:val="00AB7000"/>
    <w:rsid w:val="00AB7345"/>
    <w:rsid w:val="00AC061E"/>
    <w:rsid w:val="00AC0C99"/>
    <w:rsid w:val="00AC19C1"/>
    <w:rsid w:val="00AC1CFE"/>
    <w:rsid w:val="00AC246F"/>
    <w:rsid w:val="00AC27C3"/>
    <w:rsid w:val="00AC3A77"/>
    <w:rsid w:val="00AC444F"/>
    <w:rsid w:val="00AC5037"/>
    <w:rsid w:val="00AC527E"/>
    <w:rsid w:val="00AC5A42"/>
    <w:rsid w:val="00AC64EB"/>
    <w:rsid w:val="00AC7B92"/>
    <w:rsid w:val="00AD0180"/>
    <w:rsid w:val="00AD0463"/>
    <w:rsid w:val="00AD0B9A"/>
    <w:rsid w:val="00AD126E"/>
    <w:rsid w:val="00AD358E"/>
    <w:rsid w:val="00AD369A"/>
    <w:rsid w:val="00AD401B"/>
    <w:rsid w:val="00AD448C"/>
    <w:rsid w:val="00AD4504"/>
    <w:rsid w:val="00AD47FE"/>
    <w:rsid w:val="00AD5037"/>
    <w:rsid w:val="00AD5357"/>
    <w:rsid w:val="00AD5BC1"/>
    <w:rsid w:val="00AD6132"/>
    <w:rsid w:val="00AD63F0"/>
    <w:rsid w:val="00AD6580"/>
    <w:rsid w:val="00AD765D"/>
    <w:rsid w:val="00AD768E"/>
    <w:rsid w:val="00AE0536"/>
    <w:rsid w:val="00AE2080"/>
    <w:rsid w:val="00AE221E"/>
    <w:rsid w:val="00AE3B4D"/>
    <w:rsid w:val="00AE4799"/>
    <w:rsid w:val="00AE55AA"/>
    <w:rsid w:val="00AE68E2"/>
    <w:rsid w:val="00AE6EE4"/>
    <w:rsid w:val="00AE7413"/>
    <w:rsid w:val="00AE77E9"/>
    <w:rsid w:val="00AE79C1"/>
    <w:rsid w:val="00AE7A73"/>
    <w:rsid w:val="00AE7DF3"/>
    <w:rsid w:val="00AF00DA"/>
    <w:rsid w:val="00AF02A1"/>
    <w:rsid w:val="00AF1B15"/>
    <w:rsid w:val="00AF26CA"/>
    <w:rsid w:val="00AF317A"/>
    <w:rsid w:val="00AF39C6"/>
    <w:rsid w:val="00AF3C8F"/>
    <w:rsid w:val="00AF5002"/>
    <w:rsid w:val="00AF5553"/>
    <w:rsid w:val="00AF5E7D"/>
    <w:rsid w:val="00AF6270"/>
    <w:rsid w:val="00AF6BEA"/>
    <w:rsid w:val="00AF7171"/>
    <w:rsid w:val="00AF7980"/>
    <w:rsid w:val="00B009C3"/>
    <w:rsid w:val="00B0199C"/>
    <w:rsid w:val="00B01A5D"/>
    <w:rsid w:val="00B028C5"/>
    <w:rsid w:val="00B02F23"/>
    <w:rsid w:val="00B0421B"/>
    <w:rsid w:val="00B0563A"/>
    <w:rsid w:val="00B05E99"/>
    <w:rsid w:val="00B12144"/>
    <w:rsid w:val="00B1276A"/>
    <w:rsid w:val="00B1339B"/>
    <w:rsid w:val="00B135CA"/>
    <w:rsid w:val="00B13734"/>
    <w:rsid w:val="00B14D61"/>
    <w:rsid w:val="00B1539C"/>
    <w:rsid w:val="00B15938"/>
    <w:rsid w:val="00B15A73"/>
    <w:rsid w:val="00B15BB0"/>
    <w:rsid w:val="00B1602B"/>
    <w:rsid w:val="00B174BC"/>
    <w:rsid w:val="00B17AFC"/>
    <w:rsid w:val="00B17D80"/>
    <w:rsid w:val="00B20B7E"/>
    <w:rsid w:val="00B20B91"/>
    <w:rsid w:val="00B21614"/>
    <w:rsid w:val="00B21C97"/>
    <w:rsid w:val="00B21D35"/>
    <w:rsid w:val="00B222D0"/>
    <w:rsid w:val="00B228B0"/>
    <w:rsid w:val="00B22BD9"/>
    <w:rsid w:val="00B2376A"/>
    <w:rsid w:val="00B24D03"/>
    <w:rsid w:val="00B24E53"/>
    <w:rsid w:val="00B250B9"/>
    <w:rsid w:val="00B25500"/>
    <w:rsid w:val="00B26A68"/>
    <w:rsid w:val="00B279D2"/>
    <w:rsid w:val="00B27B03"/>
    <w:rsid w:val="00B27E3E"/>
    <w:rsid w:val="00B31214"/>
    <w:rsid w:val="00B32077"/>
    <w:rsid w:val="00B3267E"/>
    <w:rsid w:val="00B32F13"/>
    <w:rsid w:val="00B33471"/>
    <w:rsid w:val="00B335FA"/>
    <w:rsid w:val="00B341A5"/>
    <w:rsid w:val="00B34C00"/>
    <w:rsid w:val="00B34F6C"/>
    <w:rsid w:val="00B35A6F"/>
    <w:rsid w:val="00B35ED1"/>
    <w:rsid w:val="00B36AE2"/>
    <w:rsid w:val="00B374F2"/>
    <w:rsid w:val="00B37FC5"/>
    <w:rsid w:val="00B408E9"/>
    <w:rsid w:val="00B40E79"/>
    <w:rsid w:val="00B41183"/>
    <w:rsid w:val="00B41A2E"/>
    <w:rsid w:val="00B42134"/>
    <w:rsid w:val="00B42EB9"/>
    <w:rsid w:val="00B436D5"/>
    <w:rsid w:val="00B44554"/>
    <w:rsid w:val="00B449CB"/>
    <w:rsid w:val="00B45244"/>
    <w:rsid w:val="00B45C23"/>
    <w:rsid w:val="00B46180"/>
    <w:rsid w:val="00B46980"/>
    <w:rsid w:val="00B46C99"/>
    <w:rsid w:val="00B471C0"/>
    <w:rsid w:val="00B47366"/>
    <w:rsid w:val="00B47566"/>
    <w:rsid w:val="00B477AB"/>
    <w:rsid w:val="00B47CD0"/>
    <w:rsid w:val="00B50EF3"/>
    <w:rsid w:val="00B51CC3"/>
    <w:rsid w:val="00B5240A"/>
    <w:rsid w:val="00B53673"/>
    <w:rsid w:val="00B5426D"/>
    <w:rsid w:val="00B54E0B"/>
    <w:rsid w:val="00B552CC"/>
    <w:rsid w:val="00B55CEE"/>
    <w:rsid w:val="00B5634B"/>
    <w:rsid w:val="00B56499"/>
    <w:rsid w:val="00B56CB6"/>
    <w:rsid w:val="00B56F29"/>
    <w:rsid w:val="00B57F6F"/>
    <w:rsid w:val="00B60DA7"/>
    <w:rsid w:val="00B61438"/>
    <w:rsid w:val="00B615FB"/>
    <w:rsid w:val="00B622A7"/>
    <w:rsid w:val="00B62B2B"/>
    <w:rsid w:val="00B632BF"/>
    <w:rsid w:val="00B6333F"/>
    <w:rsid w:val="00B6398C"/>
    <w:rsid w:val="00B64859"/>
    <w:rsid w:val="00B657CD"/>
    <w:rsid w:val="00B6600E"/>
    <w:rsid w:val="00B6620F"/>
    <w:rsid w:val="00B67064"/>
    <w:rsid w:val="00B676E3"/>
    <w:rsid w:val="00B679CA"/>
    <w:rsid w:val="00B67EE2"/>
    <w:rsid w:val="00B67F1E"/>
    <w:rsid w:val="00B70C11"/>
    <w:rsid w:val="00B70F2C"/>
    <w:rsid w:val="00B71E2B"/>
    <w:rsid w:val="00B7224B"/>
    <w:rsid w:val="00B722C4"/>
    <w:rsid w:val="00B72984"/>
    <w:rsid w:val="00B72C40"/>
    <w:rsid w:val="00B74192"/>
    <w:rsid w:val="00B747E8"/>
    <w:rsid w:val="00B75221"/>
    <w:rsid w:val="00B75659"/>
    <w:rsid w:val="00B756FF"/>
    <w:rsid w:val="00B805AB"/>
    <w:rsid w:val="00B80F31"/>
    <w:rsid w:val="00B82B68"/>
    <w:rsid w:val="00B82F4D"/>
    <w:rsid w:val="00B84E07"/>
    <w:rsid w:val="00B868E7"/>
    <w:rsid w:val="00B87654"/>
    <w:rsid w:val="00B87687"/>
    <w:rsid w:val="00B876E5"/>
    <w:rsid w:val="00B901AA"/>
    <w:rsid w:val="00B906E3"/>
    <w:rsid w:val="00B90CCB"/>
    <w:rsid w:val="00B9229C"/>
    <w:rsid w:val="00B92DAE"/>
    <w:rsid w:val="00B93A40"/>
    <w:rsid w:val="00B93E14"/>
    <w:rsid w:val="00B93FFB"/>
    <w:rsid w:val="00B94520"/>
    <w:rsid w:val="00B964F1"/>
    <w:rsid w:val="00B96F9B"/>
    <w:rsid w:val="00B97B44"/>
    <w:rsid w:val="00BA027A"/>
    <w:rsid w:val="00BA07D6"/>
    <w:rsid w:val="00BA13E4"/>
    <w:rsid w:val="00BA2322"/>
    <w:rsid w:val="00BA2596"/>
    <w:rsid w:val="00BA2A1B"/>
    <w:rsid w:val="00BA2EFE"/>
    <w:rsid w:val="00BA398E"/>
    <w:rsid w:val="00BA4BB0"/>
    <w:rsid w:val="00BA5589"/>
    <w:rsid w:val="00BA63AF"/>
    <w:rsid w:val="00BA7D0F"/>
    <w:rsid w:val="00BB0A16"/>
    <w:rsid w:val="00BB1D61"/>
    <w:rsid w:val="00BB33EB"/>
    <w:rsid w:val="00BB35A0"/>
    <w:rsid w:val="00BB36EC"/>
    <w:rsid w:val="00BB398C"/>
    <w:rsid w:val="00BB41CF"/>
    <w:rsid w:val="00BB4C3B"/>
    <w:rsid w:val="00BB4EBD"/>
    <w:rsid w:val="00BB4F70"/>
    <w:rsid w:val="00BB55E2"/>
    <w:rsid w:val="00BB593D"/>
    <w:rsid w:val="00BB66FA"/>
    <w:rsid w:val="00BB7930"/>
    <w:rsid w:val="00BC0735"/>
    <w:rsid w:val="00BC0EB0"/>
    <w:rsid w:val="00BC2646"/>
    <w:rsid w:val="00BC4713"/>
    <w:rsid w:val="00BC4C8C"/>
    <w:rsid w:val="00BC5CBC"/>
    <w:rsid w:val="00BC5F61"/>
    <w:rsid w:val="00BC61A0"/>
    <w:rsid w:val="00BC624F"/>
    <w:rsid w:val="00BC6E5A"/>
    <w:rsid w:val="00BC6F95"/>
    <w:rsid w:val="00BC7513"/>
    <w:rsid w:val="00BD1006"/>
    <w:rsid w:val="00BD1504"/>
    <w:rsid w:val="00BD1613"/>
    <w:rsid w:val="00BD16FD"/>
    <w:rsid w:val="00BD22FD"/>
    <w:rsid w:val="00BD28C7"/>
    <w:rsid w:val="00BD2BBD"/>
    <w:rsid w:val="00BD2E99"/>
    <w:rsid w:val="00BD31CA"/>
    <w:rsid w:val="00BD3C4B"/>
    <w:rsid w:val="00BD3D19"/>
    <w:rsid w:val="00BD3E9C"/>
    <w:rsid w:val="00BD7040"/>
    <w:rsid w:val="00BD7C4C"/>
    <w:rsid w:val="00BE0CAF"/>
    <w:rsid w:val="00BE2214"/>
    <w:rsid w:val="00BE23D4"/>
    <w:rsid w:val="00BE2DE9"/>
    <w:rsid w:val="00BE3F44"/>
    <w:rsid w:val="00BE3F7A"/>
    <w:rsid w:val="00BE447A"/>
    <w:rsid w:val="00BE4AB0"/>
    <w:rsid w:val="00BE4CF7"/>
    <w:rsid w:val="00BE5AFC"/>
    <w:rsid w:val="00BE6135"/>
    <w:rsid w:val="00BE7334"/>
    <w:rsid w:val="00BE7454"/>
    <w:rsid w:val="00BE7F98"/>
    <w:rsid w:val="00BF0C45"/>
    <w:rsid w:val="00BF19D4"/>
    <w:rsid w:val="00BF1E34"/>
    <w:rsid w:val="00BF4106"/>
    <w:rsid w:val="00BF4B70"/>
    <w:rsid w:val="00BF6167"/>
    <w:rsid w:val="00BF6490"/>
    <w:rsid w:val="00BF70A5"/>
    <w:rsid w:val="00BF7FD2"/>
    <w:rsid w:val="00C00246"/>
    <w:rsid w:val="00C00E99"/>
    <w:rsid w:val="00C01135"/>
    <w:rsid w:val="00C01947"/>
    <w:rsid w:val="00C0202C"/>
    <w:rsid w:val="00C02B2A"/>
    <w:rsid w:val="00C02D83"/>
    <w:rsid w:val="00C03B31"/>
    <w:rsid w:val="00C041E3"/>
    <w:rsid w:val="00C047E6"/>
    <w:rsid w:val="00C04FDC"/>
    <w:rsid w:val="00C0589B"/>
    <w:rsid w:val="00C07026"/>
    <w:rsid w:val="00C07B52"/>
    <w:rsid w:val="00C11048"/>
    <w:rsid w:val="00C112C6"/>
    <w:rsid w:val="00C113D3"/>
    <w:rsid w:val="00C11B4A"/>
    <w:rsid w:val="00C12724"/>
    <w:rsid w:val="00C13219"/>
    <w:rsid w:val="00C13830"/>
    <w:rsid w:val="00C13C13"/>
    <w:rsid w:val="00C13DA4"/>
    <w:rsid w:val="00C13ED4"/>
    <w:rsid w:val="00C158D8"/>
    <w:rsid w:val="00C16495"/>
    <w:rsid w:val="00C165EF"/>
    <w:rsid w:val="00C16A6C"/>
    <w:rsid w:val="00C2053B"/>
    <w:rsid w:val="00C2088E"/>
    <w:rsid w:val="00C20BC2"/>
    <w:rsid w:val="00C21248"/>
    <w:rsid w:val="00C2431F"/>
    <w:rsid w:val="00C24601"/>
    <w:rsid w:val="00C24DD2"/>
    <w:rsid w:val="00C25546"/>
    <w:rsid w:val="00C25A14"/>
    <w:rsid w:val="00C25B31"/>
    <w:rsid w:val="00C25BF3"/>
    <w:rsid w:val="00C263A3"/>
    <w:rsid w:val="00C275DF"/>
    <w:rsid w:val="00C27A3C"/>
    <w:rsid w:val="00C27C12"/>
    <w:rsid w:val="00C303BB"/>
    <w:rsid w:val="00C30619"/>
    <w:rsid w:val="00C306A0"/>
    <w:rsid w:val="00C31011"/>
    <w:rsid w:val="00C3213E"/>
    <w:rsid w:val="00C32AC9"/>
    <w:rsid w:val="00C33451"/>
    <w:rsid w:val="00C33747"/>
    <w:rsid w:val="00C338A0"/>
    <w:rsid w:val="00C33A1C"/>
    <w:rsid w:val="00C344AF"/>
    <w:rsid w:val="00C346F2"/>
    <w:rsid w:val="00C3479C"/>
    <w:rsid w:val="00C3732D"/>
    <w:rsid w:val="00C40C38"/>
    <w:rsid w:val="00C41311"/>
    <w:rsid w:val="00C413DF"/>
    <w:rsid w:val="00C41787"/>
    <w:rsid w:val="00C4243E"/>
    <w:rsid w:val="00C43577"/>
    <w:rsid w:val="00C442E6"/>
    <w:rsid w:val="00C44E0D"/>
    <w:rsid w:val="00C45E56"/>
    <w:rsid w:val="00C45E93"/>
    <w:rsid w:val="00C46334"/>
    <w:rsid w:val="00C466D1"/>
    <w:rsid w:val="00C46D02"/>
    <w:rsid w:val="00C47E76"/>
    <w:rsid w:val="00C517B9"/>
    <w:rsid w:val="00C51897"/>
    <w:rsid w:val="00C51DF0"/>
    <w:rsid w:val="00C5222A"/>
    <w:rsid w:val="00C5359D"/>
    <w:rsid w:val="00C53A45"/>
    <w:rsid w:val="00C56805"/>
    <w:rsid w:val="00C56933"/>
    <w:rsid w:val="00C569E3"/>
    <w:rsid w:val="00C57427"/>
    <w:rsid w:val="00C57CD7"/>
    <w:rsid w:val="00C60764"/>
    <w:rsid w:val="00C61119"/>
    <w:rsid w:val="00C612EB"/>
    <w:rsid w:val="00C61479"/>
    <w:rsid w:val="00C61CDB"/>
    <w:rsid w:val="00C61F31"/>
    <w:rsid w:val="00C627EC"/>
    <w:rsid w:val="00C62B17"/>
    <w:rsid w:val="00C6301A"/>
    <w:rsid w:val="00C630A7"/>
    <w:rsid w:val="00C6435D"/>
    <w:rsid w:val="00C6442C"/>
    <w:rsid w:val="00C64BA1"/>
    <w:rsid w:val="00C6526F"/>
    <w:rsid w:val="00C65541"/>
    <w:rsid w:val="00C66434"/>
    <w:rsid w:val="00C66EC3"/>
    <w:rsid w:val="00C67BFB"/>
    <w:rsid w:val="00C7040F"/>
    <w:rsid w:val="00C7123A"/>
    <w:rsid w:val="00C72678"/>
    <w:rsid w:val="00C7273D"/>
    <w:rsid w:val="00C73C3C"/>
    <w:rsid w:val="00C74014"/>
    <w:rsid w:val="00C740B2"/>
    <w:rsid w:val="00C743F6"/>
    <w:rsid w:val="00C75106"/>
    <w:rsid w:val="00C75B99"/>
    <w:rsid w:val="00C775C6"/>
    <w:rsid w:val="00C7772A"/>
    <w:rsid w:val="00C80556"/>
    <w:rsid w:val="00C808AA"/>
    <w:rsid w:val="00C808D5"/>
    <w:rsid w:val="00C80C8E"/>
    <w:rsid w:val="00C81916"/>
    <w:rsid w:val="00C81AEF"/>
    <w:rsid w:val="00C81BA8"/>
    <w:rsid w:val="00C8265F"/>
    <w:rsid w:val="00C827C4"/>
    <w:rsid w:val="00C83548"/>
    <w:rsid w:val="00C84A45"/>
    <w:rsid w:val="00C84FD0"/>
    <w:rsid w:val="00C850E6"/>
    <w:rsid w:val="00C85DA1"/>
    <w:rsid w:val="00C863B7"/>
    <w:rsid w:val="00C905DA"/>
    <w:rsid w:val="00C906BC"/>
    <w:rsid w:val="00C90B32"/>
    <w:rsid w:val="00C9129C"/>
    <w:rsid w:val="00C919A9"/>
    <w:rsid w:val="00C92F66"/>
    <w:rsid w:val="00C93025"/>
    <w:rsid w:val="00C93147"/>
    <w:rsid w:val="00C935FC"/>
    <w:rsid w:val="00C93B7A"/>
    <w:rsid w:val="00C9493B"/>
    <w:rsid w:val="00C950E4"/>
    <w:rsid w:val="00C95220"/>
    <w:rsid w:val="00C95B22"/>
    <w:rsid w:val="00C9626B"/>
    <w:rsid w:val="00C969B3"/>
    <w:rsid w:val="00C97144"/>
    <w:rsid w:val="00C97551"/>
    <w:rsid w:val="00CA0051"/>
    <w:rsid w:val="00CA0E76"/>
    <w:rsid w:val="00CA279C"/>
    <w:rsid w:val="00CA379D"/>
    <w:rsid w:val="00CA49AA"/>
    <w:rsid w:val="00CA523D"/>
    <w:rsid w:val="00CA6E2A"/>
    <w:rsid w:val="00CA6F6A"/>
    <w:rsid w:val="00CA7197"/>
    <w:rsid w:val="00CA738B"/>
    <w:rsid w:val="00CA7880"/>
    <w:rsid w:val="00CA7BB4"/>
    <w:rsid w:val="00CB0527"/>
    <w:rsid w:val="00CB165A"/>
    <w:rsid w:val="00CB292E"/>
    <w:rsid w:val="00CB3CF3"/>
    <w:rsid w:val="00CB403C"/>
    <w:rsid w:val="00CB482E"/>
    <w:rsid w:val="00CB5D90"/>
    <w:rsid w:val="00CB6BB8"/>
    <w:rsid w:val="00CB6F79"/>
    <w:rsid w:val="00CB7238"/>
    <w:rsid w:val="00CB7910"/>
    <w:rsid w:val="00CB7967"/>
    <w:rsid w:val="00CC066F"/>
    <w:rsid w:val="00CC0847"/>
    <w:rsid w:val="00CC1C66"/>
    <w:rsid w:val="00CC1F04"/>
    <w:rsid w:val="00CC2A66"/>
    <w:rsid w:val="00CC303E"/>
    <w:rsid w:val="00CC32D4"/>
    <w:rsid w:val="00CC33CF"/>
    <w:rsid w:val="00CC3B03"/>
    <w:rsid w:val="00CC44F7"/>
    <w:rsid w:val="00CC4616"/>
    <w:rsid w:val="00CC4F3C"/>
    <w:rsid w:val="00CC5A70"/>
    <w:rsid w:val="00CC5D9C"/>
    <w:rsid w:val="00CC610E"/>
    <w:rsid w:val="00CC73AE"/>
    <w:rsid w:val="00CC73CA"/>
    <w:rsid w:val="00CC7AB5"/>
    <w:rsid w:val="00CC7C96"/>
    <w:rsid w:val="00CD0B23"/>
    <w:rsid w:val="00CD17BA"/>
    <w:rsid w:val="00CD1E06"/>
    <w:rsid w:val="00CD2A13"/>
    <w:rsid w:val="00CD3392"/>
    <w:rsid w:val="00CD36CB"/>
    <w:rsid w:val="00CD3CEC"/>
    <w:rsid w:val="00CD4A79"/>
    <w:rsid w:val="00CD5A35"/>
    <w:rsid w:val="00CD6411"/>
    <w:rsid w:val="00CD65C5"/>
    <w:rsid w:val="00CD6EB3"/>
    <w:rsid w:val="00CD706E"/>
    <w:rsid w:val="00CE0238"/>
    <w:rsid w:val="00CE06EC"/>
    <w:rsid w:val="00CE0AB0"/>
    <w:rsid w:val="00CE126B"/>
    <w:rsid w:val="00CE1C12"/>
    <w:rsid w:val="00CE1C53"/>
    <w:rsid w:val="00CE2A9B"/>
    <w:rsid w:val="00CE3393"/>
    <w:rsid w:val="00CE42B9"/>
    <w:rsid w:val="00CE45EA"/>
    <w:rsid w:val="00CE45ED"/>
    <w:rsid w:val="00CE4A9B"/>
    <w:rsid w:val="00CE5308"/>
    <w:rsid w:val="00CE5372"/>
    <w:rsid w:val="00CE5853"/>
    <w:rsid w:val="00CE5A78"/>
    <w:rsid w:val="00CE6BD6"/>
    <w:rsid w:val="00CE7328"/>
    <w:rsid w:val="00CE769D"/>
    <w:rsid w:val="00CE76AE"/>
    <w:rsid w:val="00CE77B2"/>
    <w:rsid w:val="00CF0B2B"/>
    <w:rsid w:val="00CF271B"/>
    <w:rsid w:val="00CF2EED"/>
    <w:rsid w:val="00CF3EF8"/>
    <w:rsid w:val="00CF4157"/>
    <w:rsid w:val="00CF551D"/>
    <w:rsid w:val="00CF5C3A"/>
    <w:rsid w:val="00CF648D"/>
    <w:rsid w:val="00CF675E"/>
    <w:rsid w:val="00CF6952"/>
    <w:rsid w:val="00CF6E04"/>
    <w:rsid w:val="00CF7319"/>
    <w:rsid w:val="00CF7D09"/>
    <w:rsid w:val="00D00289"/>
    <w:rsid w:val="00D0113F"/>
    <w:rsid w:val="00D0235A"/>
    <w:rsid w:val="00D02A75"/>
    <w:rsid w:val="00D02B5D"/>
    <w:rsid w:val="00D0416D"/>
    <w:rsid w:val="00D044FF"/>
    <w:rsid w:val="00D05EDD"/>
    <w:rsid w:val="00D079B8"/>
    <w:rsid w:val="00D10C52"/>
    <w:rsid w:val="00D10C93"/>
    <w:rsid w:val="00D12C5A"/>
    <w:rsid w:val="00D144FB"/>
    <w:rsid w:val="00D15858"/>
    <w:rsid w:val="00D165C3"/>
    <w:rsid w:val="00D17383"/>
    <w:rsid w:val="00D202DB"/>
    <w:rsid w:val="00D2106E"/>
    <w:rsid w:val="00D2151E"/>
    <w:rsid w:val="00D21F1F"/>
    <w:rsid w:val="00D22E0A"/>
    <w:rsid w:val="00D2360E"/>
    <w:rsid w:val="00D23D43"/>
    <w:rsid w:val="00D262B7"/>
    <w:rsid w:val="00D26EE5"/>
    <w:rsid w:val="00D27403"/>
    <w:rsid w:val="00D275E0"/>
    <w:rsid w:val="00D2779E"/>
    <w:rsid w:val="00D278C3"/>
    <w:rsid w:val="00D308CE"/>
    <w:rsid w:val="00D32BD8"/>
    <w:rsid w:val="00D32CEA"/>
    <w:rsid w:val="00D332E2"/>
    <w:rsid w:val="00D3364C"/>
    <w:rsid w:val="00D3469F"/>
    <w:rsid w:val="00D365EC"/>
    <w:rsid w:val="00D366AF"/>
    <w:rsid w:val="00D3723D"/>
    <w:rsid w:val="00D40580"/>
    <w:rsid w:val="00D40B80"/>
    <w:rsid w:val="00D40C48"/>
    <w:rsid w:val="00D42249"/>
    <w:rsid w:val="00D42658"/>
    <w:rsid w:val="00D42976"/>
    <w:rsid w:val="00D42C56"/>
    <w:rsid w:val="00D43C34"/>
    <w:rsid w:val="00D44190"/>
    <w:rsid w:val="00D450EE"/>
    <w:rsid w:val="00D45521"/>
    <w:rsid w:val="00D45B6C"/>
    <w:rsid w:val="00D45BF2"/>
    <w:rsid w:val="00D460AB"/>
    <w:rsid w:val="00D460CA"/>
    <w:rsid w:val="00D460DB"/>
    <w:rsid w:val="00D46ADD"/>
    <w:rsid w:val="00D46FE8"/>
    <w:rsid w:val="00D478BE"/>
    <w:rsid w:val="00D47955"/>
    <w:rsid w:val="00D47BC3"/>
    <w:rsid w:val="00D509CD"/>
    <w:rsid w:val="00D50DC4"/>
    <w:rsid w:val="00D51353"/>
    <w:rsid w:val="00D52342"/>
    <w:rsid w:val="00D52595"/>
    <w:rsid w:val="00D52822"/>
    <w:rsid w:val="00D52FE9"/>
    <w:rsid w:val="00D552AA"/>
    <w:rsid w:val="00D55696"/>
    <w:rsid w:val="00D55AD8"/>
    <w:rsid w:val="00D55D0A"/>
    <w:rsid w:val="00D60AFB"/>
    <w:rsid w:val="00D60CB4"/>
    <w:rsid w:val="00D60EC3"/>
    <w:rsid w:val="00D614DB"/>
    <w:rsid w:val="00D61B5F"/>
    <w:rsid w:val="00D6205F"/>
    <w:rsid w:val="00D63946"/>
    <w:rsid w:val="00D64044"/>
    <w:rsid w:val="00D64E1E"/>
    <w:rsid w:val="00D64EF0"/>
    <w:rsid w:val="00D65D6B"/>
    <w:rsid w:val="00D666ED"/>
    <w:rsid w:val="00D66B78"/>
    <w:rsid w:val="00D670D3"/>
    <w:rsid w:val="00D67E63"/>
    <w:rsid w:val="00D710B0"/>
    <w:rsid w:val="00D71B38"/>
    <w:rsid w:val="00D71F34"/>
    <w:rsid w:val="00D72C98"/>
    <w:rsid w:val="00D72EC0"/>
    <w:rsid w:val="00D738A3"/>
    <w:rsid w:val="00D73B78"/>
    <w:rsid w:val="00D74170"/>
    <w:rsid w:val="00D751C2"/>
    <w:rsid w:val="00D7537F"/>
    <w:rsid w:val="00D753D9"/>
    <w:rsid w:val="00D75427"/>
    <w:rsid w:val="00D75B09"/>
    <w:rsid w:val="00D75D69"/>
    <w:rsid w:val="00D75D7B"/>
    <w:rsid w:val="00D77CFD"/>
    <w:rsid w:val="00D80A4A"/>
    <w:rsid w:val="00D80E70"/>
    <w:rsid w:val="00D80EE1"/>
    <w:rsid w:val="00D8174F"/>
    <w:rsid w:val="00D82610"/>
    <w:rsid w:val="00D82AF5"/>
    <w:rsid w:val="00D82C94"/>
    <w:rsid w:val="00D82FCC"/>
    <w:rsid w:val="00D835E6"/>
    <w:rsid w:val="00D839D0"/>
    <w:rsid w:val="00D83DCF"/>
    <w:rsid w:val="00D8476E"/>
    <w:rsid w:val="00D864DA"/>
    <w:rsid w:val="00D8683E"/>
    <w:rsid w:val="00D86C0B"/>
    <w:rsid w:val="00D86CD5"/>
    <w:rsid w:val="00D86D37"/>
    <w:rsid w:val="00D8736F"/>
    <w:rsid w:val="00D876B3"/>
    <w:rsid w:val="00D87D6C"/>
    <w:rsid w:val="00D87FFB"/>
    <w:rsid w:val="00D9019E"/>
    <w:rsid w:val="00D904B4"/>
    <w:rsid w:val="00D90554"/>
    <w:rsid w:val="00D90B95"/>
    <w:rsid w:val="00D90F82"/>
    <w:rsid w:val="00D91199"/>
    <w:rsid w:val="00D9156B"/>
    <w:rsid w:val="00D94B93"/>
    <w:rsid w:val="00D9700D"/>
    <w:rsid w:val="00D972AC"/>
    <w:rsid w:val="00D97C7D"/>
    <w:rsid w:val="00D97FE3"/>
    <w:rsid w:val="00DA1C45"/>
    <w:rsid w:val="00DA1DB5"/>
    <w:rsid w:val="00DA2128"/>
    <w:rsid w:val="00DA2A2F"/>
    <w:rsid w:val="00DA2EA1"/>
    <w:rsid w:val="00DA3454"/>
    <w:rsid w:val="00DA4773"/>
    <w:rsid w:val="00DA49E3"/>
    <w:rsid w:val="00DA4E5E"/>
    <w:rsid w:val="00DA5922"/>
    <w:rsid w:val="00DA6520"/>
    <w:rsid w:val="00DA73DE"/>
    <w:rsid w:val="00DB06AB"/>
    <w:rsid w:val="00DB079A"/>
    <w:rsid w:val="00DB1B5F"/>
    <w:rsid w:val="00DB2BB9"/>
    <w:rsid w:val="00DB3DD6"/>
    <w:rsid w:val="00DB3FE3"/>
    <w:rsid w:val="00DB4F1F"/>
    <w:rsid w:val="00DB61E6"/>
    <w:rsid w:val="00DB6541"/>
    <w:rsid w:val="00DB6DE0"/>
    <w:rsid w:val="00DB78D1"/>
    <w:rsid w:val="00DB7AD4"/>
    <w:rsid w:val="00DC0297"/>
    <w:rsid w:val="00DC0769"/>
    <w:rsid w:val="00DC193B"/>
    <w:rsid w:val="00DC227A"/>
    <w:rsid w:val="00DC2E37"/>
    <w:rsid w:val="00DC3DC2"/>
    <w:rsid w:val="00DC4939"/>
    <w:rsid w:val="00DC4A7F"/>
    <w:rsid w:val="00DC57C9"/>
    <w:rsid w:val="00DC6BF6"/>
    <w:rsid w:val="00DC6CA9"/>
    <w:rsid w:val="00DD073F"/>
    <w:rsid w:val="00DD0AD8"/>
    <w:rsid w:val="00DD0CF7"/>
    <w:rsid w:val="00DD1245"/>
    <w:rsid w:val="00DD16AD"/>
    <w:rsid w:val="00DD24C1"/>
    <w:rsid w:val="00DD2772"/>
    <w:rsid w:val="00DD2CD3"/>
    <w:rsid w:val="00DD30DC"/>
    <w:rsid w:val="00DD3981"/>
    <w:rsid w:val="00DD3D24"/>
    <w:rsid w:val="00DD42E8"/>
    <w:rsid w:val="00DD653A"/>
    <w:rsid w:val="00DD7914"/>
    <w:rsid w:val="00DE036B"/>
    <w:rsid w:val="00DE09E2"/>
    <w:rsid w:val="00DE24A1"/>
    <w:rsid w:val="00DE26F4"/>
    <w:rsid w:val="00DE2E13"/>
    <w:rsid w:val="00DE38DF"/>
    <w:rsid w:val="00DE43C2"/>
    <w:rsid w:val="00DE442E"/>
    <w:rsid w:val="00DE4DE7"/>
    <w:rsid w:val="00DE5AE3"/>
    <w:rsid w:val="00DE5BC2"/>
    <w:rsid w:val="00DE6B18"/>
    <w:rsid w:val="00DF032B"/>
    <w:rsid w:val="00DF2BDE"/>
    <w:rsid w:val="00DF2E4E"/>
    <w:rsid w:val="00DF36E2"/>
    <w:rsid w:val="00DF37CD"/>
    <w:rsid w:val="00DF3A90"/>
    <w:rsid w:val="00DF691C"/>
    <w:rsid w:val="00E00E13"/>
    <w:rsid w:val="00E0146A"/>
    <w:rsid w:val="00E017B4"/>
    <w:rsid w:val="00E01F66"/>
    <w:rsid w:val="00E020AF"/>
    <w:rsid w:val="00E02417"/>
    <w:rsid w:val="00E02722"/>
    <w:rsid w:val="00E029C1"/>
    <w:rsid w:val="00E029D4"/>
    <w:rsid w:val="00E035D3"/>
    <w:rsid w:val="00E035EE"/>
    <w:rsid w:val="00E04092"/>
    <w:rsid w:val="00E045DB"/>
    <w:rsid w:val="00E05307"/>
    <w:rsid w:val="00E0589A"/>
    <w:rsid w:val="00E06DD5"/>
    <w:rsid w:val="00E07307"/>
    <w:rsid w:val="00E07CDB"/>
    <w:rsid w:val="00E1067B"/>
    <w:rsid w:val="00E1112C"/>
    <w:rsid w:val="00E11360"/>
    <w:rsid w:val="00E11EC1"/>
    <w:rsid w:val="00E132DB"/>
    <w:rsid w:val="00E1361B"/>
    <w:rsid w:val="00E13A2A"/>
    <w:rsid w:val="00E13B15"/>
    <w:rsid w:val="00E14054"/>
    <w:rsid w:val="00E14BED"/>
    <w:rsid w:val="00E1555D"/>
    <w:rsid w:val="00E16199"/>
    <w:rsid w:val="00E1653D"/>
    <w:rsid w:val="00E1697B"/>
    <w:rsid w:val="00E169A9"/>
    <w:rsid w:val="00E17326"/>
    <w:rsid w:val="00E176C3"/>
    <w:rsid w:val="00E22884"/>
    <w:rsid w:val="00E22B6B"/>
    <w:rsid w:val="00E22D4B"/>
    <w:rsid w:val="00E233FA"/>
    <w:rsid w:val="00E241F7"/>
    <w:rsid w:val="00E2476B"/>
    <w:rsid w:val="00E24C31"/>
    <w:rsid w:val="00E25B5D"/>
    <w:rsid w:val="00E2619B"/>
    <w:rsid w:val="00E2662E"/>
    <w:rsid w:val="00E271AE"/>
    <w:rsid w:val="00E2744B"/>
    <w:rsid w:val="00E276EA"/>
    <w:rsid w:val="00E308DD"/>
    <w:rsid w:val="00E308EC"/>
    <w:rsid w:val="00E30BE6"/>
    <w:rsid w:val="00E30D18"/>
    <w:rsid w:val="00E30EA9"/>
    <w:rsid w:val="00E31018"/>
    <w:rsid w:val="00E345D1"/>
    <w:rsid w:val="00E347F6"/>
    <w:rsid w:val="00E348B5"/>
    <w:rsid w:val="00E3515F"/>
    <w:rsid w:val="00E37170"/>
    <w:rsid w:val="00E4295B"/>
    <w:rsid w:val="00E42C58"/>
    <w:rsid w:val="00E42C83"/>
    <w:rsid w:val="00E42DAA"/>
    <w:rsid w:val="00E431F4"/>
    <w:rsid w:val="00E4357F"/>
    <w:rsid w:val="00E43DC3"/>
    <w:rsid w:val="00E4422B"/>
    <w:rsid w:val="00E4446B"/>
    <w:rsid w:val="00E46338"/>
    <w:rsid w:val="00E46D36"/>
    <w:rsid w:val="00E4788A"/>
    <w:rsid w:val="00E47C3C"/>
    <w:rsid w:val="00E47C4C"/>
    <w:rsid w:val="00E47CDC"/>
    <w:rsid w:val="00E47E49"/>
    <w:rsid w:val="00E502C0"/>
    <w:rsid w:val="00E512B7"/>
    <w:rsid w:val="00E51705"/>
    <w:rsid w:val="00E51DFB"/>
    <w:rsid w:val="00E521C4"/>
    <w:rsid w:val="00E53001"/>
    <w:rsid w:val="00E531C8"/>
    <w:rsid w:val="00E53728"/>
    <w:rsid w:val="00E53C08"/>
    <w:rsid w:val="00E53D02"/>
    <w:rsid w:val="00E54771"/>
    <w:rsid w:val="00E56048"/>
    <w:rsid w:val="00E56AD0"/>
    <w:rsid w:val="00E56B10"/>
    <w:rsid w:val="00E57B0A"/>
    <w:rsid w:val="00E60336"/>
    <w:rsid w:val="00E6064F"/>
    <w:rsid w:val="00E60739"/>
    <w:rsid w:val="00E6230A"/>
    <w:rsid w:val="00E62597"/>
    <w:rsid w:val="00E6299E"/>
    <w:rsid w:val="00E62CB0"/>
    <w:rsid w:val="00E62DB0"/>
    <w:rsid w:val="00E63C09"/>
    <w:rsid w:val="00E63EE7"/>
    <w:rsid w:val="00E6465D"/>
    <w:rsid w:val="00E64AAE"/>
    <w:rsid w:val="00E65421"/>
    <w:rsid w:val="00E65787"/>
    <w:rsid w:val="00E66391"/>
    <w:rsid w:val="00E705E7"/>
    <w:rsid w:val="00E71B90"/>
    <w:rsid w:val="00E7204C"/>
    <w:rsid w:val="00E72909"/>
    <w:rsid w:val="00E729C5"/>
    <w:rsid w:val="00E73274"/>
    <w:rsid w:val="00E732A1"/>
    <w:rsid w:val="00E7340A"/>
    <w:rsid w:val="00E73F85"/>
    <w:rsid w:val="00E75EBF"/>
    <w:rsid w:val="00E76043"/>
    <w:rsid w:val="00E80CF5"/>
    <w:rsid w:val="00E80DAD"/>
    <w:rsid w:val="00E81B87"/>
    <w:rsid w:val="00E82966"/>
    <w:rsid w:val="00E82A18"/>
    <w:rsid w:val="00E83CEE"/>
    <w:rsid w:val="00E85735"/>
    <w:rsid w:val="00E85F27"/>
    <w:rsid w:val="00E87383"/>
    <w:rsid w:val="00E91050"/>
    <w:rsid w:val="00E91922"/>
    <w:rsid w:val="00E924AA"/>
    <w:rsid w:val="00E92525"/>
    <w:rsid w:val="00E96732"/>
    <w:rsid w:val="00E96CD5"/>
    <w:rsid w:val="00E96D46"/>
    <w:rsid w:val="00E977F5"/>
    <w:rsid w:val="00EA0BC8"/>
    <w:rsid w:val="00EA0C04"/>
    <w:rsid w:val="00EA124D"/>
    <w:rsid w:val="00EA1611"/>
    <w:rsid w:val="00EA1F67"/>
    <w:rsid w:val="00EA4CB7"/>
    <w:rsid w:val="00EA508A"/>
    <w:rsid w:val="00EA50AC"/>
    <w:rsid w:val="00EA542B"/>
    <w:rsid w:val="00EA75F6"/>
    <w:rsid w:val="00EB0521"/>
    <w:rsid w:val="00EB0C78"/>
    <w:rsid w:val="00EB2410"/>
    <w:rsid w:val="00EB2A43"/>
    <w:rsid w:val="00EB35CE"/>
    <w:rsid w:val="00EB35E4"/>
    <w:rsid w:val="00EB3D2D"/>
    <w:rsid w:val="00EB4145"/>
    <w:rsid w:val="00EB493D"/>
    <w:rsid w:val="00EB4A28"/>
    <w:rsid w:val="00EB546D"/>
    <w:rsid w:val="00EB54EE"/>
    <w:rsid w:val="00EB6287"/>
    <w:rsid w:val="00EB6316"/>
    <w:rsid w:val="00EB6C4B"/>
    <w:rsid w:val="00EB7641"/>
    <w:rsid w:val="00EB7BFD"/>
    <w:rsid w:val="00EC03AA"/>
    <w:rsid w:val="00EC1263"/>
    <w:rsid w:val="00EC20AE"/>
    <w:rsid w:val="00EC22CB"/>
    <w:rsid w:val="00EC2649"/>
    <w:rsid w:val="00EC271D"/>
    <w:rsid w:val="00EC28D4"/>
    <w:rsid w:val="00EC42B0"/>
    <w:rsid w:val="00EC4784"/>
    <w:rsid w:val="00EC484E"/>
    <w:rsid w:val="00EC4E80"/>
    <w:rsid w:val="00EC5210"/>
    <w:rsid w:val="00EC57E9"/>
    <w:rsid w:val="00EC623C"/>
    <w:rsid w:val="00EC694A"/>
    <w:rsid w:val="00EC6B7B"/>
    <w:rsid w:val="00EC6F28"/>
    <w:rsid w:val="00EC737A"/>
    <w:rsid w:val="00EC7A21"/>
    <w:rsid w:val="00ED0004"/>
    <w:rsid w:val="00ED02CE"/>
    <w:rsid w:val="00ED06B7"/>
    <w:rsid w:val="00ED0C6F"/>
    <w:rsid w:val="00ED0E3E"/>
    <w:rsid w:val="00ED111D"/>
    <w:rsid w:val="00ED273E"/>
    <w:rsid w:val="00ED3635"/>
    <w:rsid w:val="00ED3703"/>
    <w:rsid w:val="00ED373C"/>
    <w:rsid w:val="00ED3A00"/>
    <w:rsid w:val="00ED3F80"/>
    <w:rsid w:val="00ED50CC"/>
    <w:rsid w:val="00ED5C08"/>
    <w:rsid w:val="00ED6E98"/>
    <w:rsid w:val="00ED7560"/>
    <w:rsid w:val="00ED7A0C"/>
    <w:rsid w:val="00ED7C0A"/>
    <w:rsid w:val="00ED7C56"/>
    <w:rsid w:val="00EE00A4"/>
    <w:rsid w:val="00EE173F"/>
    <w:rsid w:val="00EE25D7"/>
    <w:rsid w:val="00EE462B"/>
    <w:rsid w:val="00EE4B7D"/>
    <w:rsid w:val="00EE5359"/>
    <w:rsid w:val="00EE57B7"/>
    <w:rsid w:val="00EE5ED6"/>
    <w:rsid w:val="00EE64C5"/>
    <w:rsid w:val="00EE74CF"/>
    <w:rsid w:val="00EF0201"/>
    <w:rsid w:val="00EF2367"/>
    <w:rsid w:val="00EF2613"/>
    <w:rsid w:val="00EF3297"/>
    <w:rsid w:val="00EF34B6"/>
    <w:rsid w:val="00EF5E0A"/>
    <w:rsid w:val="00EF7039"/>
    <w:rsid w:val="00EF7369"/>
    <w:rsid w:val="00EF7584"/>
    <w:rsid w:val="00EF79A7"/>
    <w:rsid w:val="00EF7CB2"/>
    <w:rsid w:val="00EF7D68"/>
    <w:rsid w:val="00F0009A"/>
    <w:rsid w:val="00F0031D"/>
    <w:rsid w:val="00F00F95"/>
    <w:rsid w:val="00F017C3"/>
    <w:rsid w:val="00F023F5"/>
    <w:rsid w:val="00F02AC8"/>
    <w:rsid w:val="00F02B7B"/>
    <w:rsid w:val="00F03DA4"/>
    <w:rsid w:val="00F04002"/>
    <w:rsid w:val="00F043B5"/>
    <w:rsid w:val="00F0445A"/>
    <w:rsid w:val="00F0523F"/>
    <w:rsid w:val="00F053C4"/>
    <w:rsid w:val="00F05868"/>
    <w:rsid w:val="00F05AC8"/>
    <w:rsid w:val="00F06AC7"/>
    <w:rsid w:val="00F07478"/>
    <w:rsid w:val="00F07BB8"/>
    <w:rsid w:val="00F10025"/>
    <w:rsid w:val="00F10760"/>
    <w:rsid w:val="00F11128"/>
    <w:rsid w:val="00F11834"/>
    <w:rsid w:val="00F11F8D"/>
    <w:rsid w:val="00F14639"/>
    <w:rsid w:val="00F16B65"/>
    <w:rsid w:val="00F16BA4"/>
    <w:rsid w:val="00F17464"/>
    <w:rsid w:val="00F17EDB"/>
    <w:rsid w:val="00F204F8"/>
    <w:rsid w:val="00F20867"/>
    <w:rsid w:val="00F2096A"/>
    <w:rsid w:val="00F23732"/>
    <w:rsid w:val="00F239FB"/>
    <w:rsid w:val="00F23EEE"/>
    <w:rsid w:val="00F24B1F"/>
    <w:rsid w:val="00F24BB3"/>
    <w:rsid w:val="00F24E2D"/>
    <w:rsid w:val="00F25FFE"/>
    <w:rsid w:val="00F27F7B"/>
    <w:rsid w:val="00F305DF"/>
    <w:rsid w:val="00F30609"/>
    <w:rsid w:val="00F30CC6"/>
    <w:rsid w:val="00F31537"/>
    <w:rsid w:val="00F3154A"/>
    <w:rsid w:val="00F319E2"/>
    <w:rsid w:val="00F31DAB"/>
    <w:rsid w:val="00F31F2C"/>
    <w:rsid w:val="00F32EDC"/>
    <w:rsid w:val="00F33307"/>
    <w:rsid w:val="00F34BEB"/>
    <w:rsid w:val="00F34E9E"/>
    <w:rsid w:val="00F35496"/>
    <w:rsid w:val="00F37954"/>
    <w:rsid w:val="00F37EF7"/>
    <w:rsid w:val="00F4059E"/>
    <w:rsid w:val="00F4064E"/>
    <w:rsid w:val="00F41F48"/>
    <w:rsid w:val="00F42444"/>
    <w:rsid w:val="00F42BF2"/>
    <w:rsid w:val="00F440E0"/>
    <w:rsid w:val="00F44EDE"/>
    <w:rsid w:val="00F459C0"/>
    <w:rsid w:val="00F45D54"/>
    <w:rsid w:val="00F4680C"/>
    <w:rsid w:val="00F47160"/>
    <w:rsid w:val="00F47A62"/>
    <w:rsid w:val="00F509F6"/>
    <w:rsid w:val="00F50DD4"/>
    <w:rsid w:val="00F5142B"/>
    <w:rsid w:val="00F52AE1"/>
    <w:rsid w:val="00F52FCB"/>
    <w:rsid w:val="00F53A28"/>
    <w:rsid w:val="00F54057"/>
    <w:rsid w:val="00F54774"/>
    <w:rsid w:val="00F54FF4"/>
    <w:rsid w:val="00F5517F"/>
    <w:rsid w:val="00F55321"/>
    <w:rsid w:val="00F55885"/>
    <w:rsid w:val="00F55B96"/>
    <w:rsid w:val="00F5702C"/>
    <w:rsid w:val="00F57DA7"/>
    <w:rsid w:val="00F57DD3"/>
    <w:rsid w:val="00F6016F"/>
    <w:rsid w:val="00F6034D"/>
    <w:rsid w:val="00F60691"/>
    <w:rsid w:val="00F60CBA"/>
    <w:rsid w:val="00F61165"/>
    <w:rsid w:val="00F615C8"/>
    <w:rsid w:val="00F62F90"/>
    <w:rsid w:val="00F63F29"/>
    <w:rsid w:val="00F63F61"/>
    <w:rsid w:val="00F657FB"/>
    <w:rsid w:val="00F65D9C"/>
    <w:rsid w:val="00F6630B"/>
    <w:rsid w:val="00F668EC"/>
    <w:rsid w:val="00F66A1D"/>
    <w:rsid w:val="00F67390"/>
    <w:rsid w:val="00F674FF"/>
    <w:rsid w:val="00F67EED"/>
    <w:rsid w:val="00F70A6E"/>
    <w:rsid w:val="00F70B1E"/>
    <w:rsid w:val="00F712C6"/>
    <w:rsid w:val="00F714CB"/>
    <w:rsid w:val="00F72390"/>
    <w:rsid w:val="00F74625"/>
    <w:rsid w:val="00F74FB8"/>
    <w:rsid w:val="00F758A4"/>
    <w:rsid w:val="00F77C48"/>
    <w:rsid w:val="00F77E4E"/>
    <w:rsid w:val="00F818BA"/>
    <w:rsid w:val="00F81AF8"/>
    <w:rsid w:val="00F82320"/>
    <w:rsid w:val="00F8294A"/>
    <w:rsid w:val="00F8338B"/>
    <w:rsid w:val="00F83505"/>
    <w:rsid w:val="00F844BB"/>
    <w:rsid w:val="00F8473F"/>
    <w:rsid w:val="00F84A4B"/>
    <w:rsid w:val="00F84D32"/>
    <w:rsid w:val="00F854B3"/>
    <w:rsid w:val="00F86FE2"/>
    <w:rsid w:val="00F870E5"/>
    <w:rsid w:val="00F871C3"/>
    <w:rsid w:val="00F876F3"/>
    <w:rsid w:val="00F87EFD"/>
    <w:rsid w:val="00F90479"/>
    <w:rsid w:val="00F904B4"/>
    <w:rsid w:val="00F90BE0"/>
    <w:rsid w:val="00F930FF"/>
    <w:rsid w:val="00F93643"/>
    <w:rsid w:val="00F94915"/>
    <w:rsid w:val="00F949D2"/>
    <w:rsid w:val="00F94CC9"/>
    <w:rsid w:val="00F952B4"/>
    <w:rsid w:val="00F96918"/>
    <w:rsid w:val="00F979BF"/>
    <w:rsid w:val="00FA020D"/>
    <w:rsid w:val="00FA0723"/>
    <w:rsid w:val="00FA128A"/>
    <w:rsid w:val="00FA141D"/>
    <w:rsid w:val="00FA2B93"/>
    <w:rsid w:val="00FA2BDF"/>
    <w:rsid w:val="00FA3214"/>
    <w:rsid w:val="00FA52EB"/>
    <w:rsid w:val="00FA5667"/>
    <w:rsid w:val="00FA5F10"/>
    <w:rsid w:val="00FA6B3E"/>
    <w:rsid w:val="00FA70E6"/>
    <w:rsid w:val="00FA77F0"/>
    <w:rsid w:val="00FA7A7C"/>
    <w:rsid w:val="00FB0213"/>
    <w:rsid w:val="00FB13A1"/>
    <w:rsid w:val="00FB1732"/>
    <w:rsid w:val="00FB2186"/>
    <w:rsid w:val="00FB2649"/>
    <w:rsid w:val="00FB31A3"/>
    <w:rsid w:val="00FB4561"/>
    <w:rsid w:val="00FB68F0"/>
    <w:rsid w:val="00FB714D"/>
    <w:rsid w:val="00FC11CD"/>
    <w:rsid w:val="00FC1A53"/>
    <w:rsid w:val="00FC1C27"/>
    <w:rsid w:val="00FC29F7"/>
    <w:rsid w:val="00FC2B05"/>
    <w:rsid w:val="00FC36D3"/>
    <w:rsid w:val="00FC4119"/>
    <w:rsid w:val="00FC4219"/>
    <w:rsid w:val="00FC4322"/>
    <w:rsid w:val="00FC484D"/>
    <w:rsid w:val="00FC4BB6"/>
    <w:rsid w:val="00FC5756"/>
    <w:rsid w:val="00FC611C"/>
    <w:rsid w:val="00FC6BFF"/>
    <w:rsid w:val="00FC6E01"/>
    <w:rsid w:val="00FD0269"/>
    <w:rsid w:val="00FD0F63"/>
    <w:rsid w:val="00FD102D"/>
    <w:rsid w:val="00FD15DB"/>
    <w:rsid w:val="00FD188D"/>
    <w:rsid w:val="00FD1C36"/>
    <w:rsid w:val="00FD27D5"/>
    <w:rsid w:val="00FD2A33"/>
    <w:rsid w:val="00FD37CC"/>
    <w:rsid w:val="00FD3D32"/>
    <w:rsid w:val="00FD45DA"/>
    <w:rsid w:val="00FD4719"/>
    <w:rsid w:val="00FD49DB"/>
    <w:rsid w:val="00FD4C47"/>
    <w:rsid w:val="00FD515F"/>
    <w:rsid w:val="00FD5932"/>
    <w:rsid w:val="00FD5BDA"/>
    <w:rsid w:val="00FD5FF2"/>
    <w:rsid w:val="00FD7867"/>
    <w:rsid w:val="00FD7A5E"/>
    <w:rsid w:val="00FE09D1"/>
    <w:rsid w:val="00FE1951"/>
    <w:rsid w:val="00FE2875"/>
    <w:rsid w:val="00FE29F8"/>
    <w:rsid w:val="00FE2A57"/>
    <w:rsid w:val="00FE337D"/>
    <w:rsid w:val="00FE3C7B"/>
    <w:rsid w:val="00FE47FE"/>
    <w:rsid w:val="00FE524A"/>
    <w:rsid w:val="00FE572B"/>
    <w:rsid w:val="00FE6ABB"/>
    <w:rsid w:val="00FE7158"/>
    <w:rsid w:val="00FE7E12"/>
    <w:rsid w:val="00FF1C3D"/>
    <w:rsid w:val="00FF1D95"/>
    <w:rsid w:val="00FF1F22"/>
    <w:rsid w:val="00FF3327"/>
    <w:rsid w:val="00FF3526"/>
    <w:rsid w:val="00FF3C9F"/>
    <w:rsid w:val="00FF4124"/>
    <w:rsid w:val="00FF418F"/>
    <w:rsid w:val="00FF4E9E"/>
    <w:rsid w:val="00FF64A0"/>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A52CE"/>
  <w15:docId w15:val="{DAEAE2AE-513D-4B5E-BAF4-DBD01F50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60062"/>
    <w:pPr>
      <w:widowControl w:val="0"/>
      <w:autoSpaceDE w:val="0"/>
      <w:autoSpaceDN w:val="0"/>
      <w:snapToGrid w:val="0"/>
      <w:spacing w:line="590" w:lineRule="atLeast"/>
      <w:ind w:firstLine="624"/>
      <w:jc w:val="both"/>
    </w:pPr>
    <w:rPr>
      <w:rFonts w:ascii="汉鼎简仿宋" w:eastAsia="汉鼎简仿宋" w:hAnsi="Times New Roman" w:cs="Times New Roman"/>
      <w:snapToGrid w:val="0"/>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rsid w:val="00960062"/>
  </w:style>
  <w:style w:type="paragraph" w:styleId="a0">
    <w:name w:val="Title"/>
    <w:basedOn w:val="a"/>
    <w:next w:val="a5"/>
    <w:link w:val="a6"/>
    <w:uiPriority w:val="99"/>
    <w:qFormat/>
    <w:rsid w:val="00960062"/>
    <w:pPr>
      <w:adjustRightInd w:val="0"/>
      <w:spacing w:line="288" w:lineRule="auto"/>
      <w:jc w:val="center"/>
      <w:outlineLvl w:val="0"/>
    </w:pPr>
    <w:rPr>
      <w:rFonts w:ascii="Cambria" w:eastAsia="方正小标宋_GBK" w:hAnsi="Cambria" w:cs="Cambria"/>
      <w:sz w:val="44"/>
      <w:szCs w:val="44"/>
    </w:rPr>
  </w:style>
  <w:style w:type="character" w:customStyle="1" w:styleId="a6">
    <w:name w:val="标题 字符"/>
    <w:basedOn w:val="a1"/>
    <w:link w:val="a0"/>
    <w:uiPriority w:val="99"/>
    <w:rsid w:val="00960062"/>
    <w:rPr>
      <w:rFonts w:ascii="Cambria" w:eastAsia="方正小标宋_GBK" w:hAnsi="Cambria" w:cs="Cambria"/>
      <w:snapToGrid w:val="0"/>
      <w:kern w:val="0"/>
      <w:sz w:val="44"/>
      <w:szCs w:val="44"/>
    </w:rPr>
  </w:style>
  <w:style w:type="paragraph" w:styleId="a7">
    <w:name w:val="footer"/>
    <w:basedOn w:val="a"/>
    <w:link w:val="a8"/>
    <w:qFormat/>
    <w:rsid w:val="00960062"/>
    <w:pPr>
      <w:tabs>
        <w:tab w:val="center" w:pos="4153"/>
        <w:tab w:val="right" w:pos="8306"/>
      </w:tabs>
      <w:spacing w:line="400" w:lineRule="atLeast"/>
      <w:ind w:firstLine="0"/>
      <w:jc w:val="center"/>
    </w:pPr>
    <w:rPr>
      <w:rFonts w:ascii="方正仿宋_GBK" w:eastAsia="方正仿宋_GBK" w:hAnsi="汉鼎简仿宋"/>
      <w:sz w:val="28"/>
    </w:rPr>
  </w:style>
  <w:style w:type="character" w:customStyle="1" w:styleId="a8">
    <w:name w:val="页脚 字符"/>
    <w:basedOn w:val="a1"/>
    <w:link w:val="a7"/>
    <w:rsid w:val="00960062"/>
    <w:rPr>
      <w:rFonts w:ascii="方正仿宋_GBK" w:eastAsia="方正仿宋_GBK" w:hAnsi="汉鼎简仿宋" w:cs="Times New Roman"/>
      <w:snapToGrid w:val="0"/>
      <w:kern w:val="0"/>
      <w:sz w:val="28"/>
      <w:szCs w:val="20"/>
    </w:rPr>
  </w:style>
  <w:style w:type="paragraph" w:styleId="a9">
    <w:name w:val="header"/>
    <w:basedOn w:val="a"/>
    <w:link w:val="aa"/>
    <w:qFormat/>
    <w:rsid w:val="00960062"/>
    <w:pPr>
      <w:pBdr>
        <w:bottom w:val="single" w:sz="6" w:space="1" w:color="auto"/>
      </w:pBdr>
      <w:tabs>
        <w:tab w:val="center" w:pos="4153"/>
        <w:tab w:val="right" w:pos="8306"/>
      </w:tabs>
      <w:spacing w:line="240" w:lineRule="atLeast"/>
      <w:jc w:val="center"/>
    </w:pPr>
    <w:rPr>
      <w:sz w:val="18"/>
    </w:rPr>
  </w:style>
  <w:style w:type="character" w:customStyle="1" w:styleId="aa">
    <w:name w:val="页眉 字符"/>
    <w:basedOn w:val="a1"/>
    <w:link w:val="a9"/>
    <w:rsid w:val="00960062"/>
    <w:rPr>
      <w:rFonts w:ascii="汉鼎简仿宋" w:eastAsia="汉鼎简仿宋" w:hAnsi="Times New Roman" w:cs="Times New Roman"/>
      <w:snapToGrid w:val="0"/>
      <w:kern w:val="0"/>
      <w:sz w:val="18"/>
      <w:szCs w:val="20"/>
    </w:rPr>
  </w:style>
  <w:style w:type="paragraph" w:customStyle="1" w:styleId="ab">
    <w:name w:val="文头"/>
    <w:basedOn w:val="a"/>
    <w:qFormat/>
    <w:rsid w:val="00960062"/>
    <w:pPr>
      <w:adjustRightInd w:val="0"/>
      <w:snapToGrid/>
      <w:spacing w:before="320" w:line="227" w:lineRule="atLeast"/>
      <w:ind w:left="227" w:right="227" w:firstLine="0"/>
      <w:jc w:val="distribute"/>
    </w:pPr>
    <w:rPr>
      <w:rFonts w:ascii="汉鼎简大宋" w:eastAsia="汉鼎简大宋"/>
      <w:color w:val="FF0000"/>
      <w:spacing w:val="36"/>
      <w:w w:val="82"/>
      <w:sz w:val="90"/>
    </w:rPr>
  </w:style>
  <w:style w:type="paragraph" w:styleId="a5">
    <w:name w:val="Body Text"/>
    <w:basedOn w:val="a"/>
    <w:link w:val="ac"/>
    <w:uiPriority w:val="99"/>
    <w:semiHidden/>
    <w:unhideWhenUsed/>
    <w:rsid w:val="00960062"/>
    <w:pPr>
      <w:spacing w:after="120"/>
    </w:pPr>
  </w:style>
  <w:style w:type="character" w:customStyle="1" w:styleId="ac">
    <w:name w:val="正文文本 字符"/>
    <w:basedOn w:val="a1"/>
    <w:link w:val="a5"/>
    <w:uiPriority w:val="99"/>
    <w:semiHidden/>
    <w:rsid w:val="00960062"/>
    <w:rPr>
      <w:rFonts w:ascii="汉鼎简仿宋" w:eastAsia="汉鼎简仿宋" w:hAnsi="Times New Roman" w:cs="Times New Roman"/>
      <w:snapToGrid w:val="0"/>
      <w:kern w:val="0"/>
      <w:sz w:val="32"/>
      <w:szCs w:val="20"/>
    </w:rPr>
  </w:style>
  <w:style w:type="paragraph" w:styleId="ad">
    <w:name w:val="Balloon Text"/>
    <w:basedOn w:val="a"/>
    <w:link w:val="ae"/>
    <w:uiPriority w:val="99"/>
    <w:semiHidden/>
    <w:unhideWhenUsed/>
    <w:rsid w:val="00960062"/>
    <w:pPr>
      <w:spacing w:line="240" w:lineRule="auto"/>
    </w:pPr>
    <w:rPr>
      <w:sz w:val="18"/>
      <w:szCs w:val="18"/>
    </w:rPr>
  </w:style>
  <w:style w:type="character" w:customStyle="1" w:styleId="ae">
    <w:name w:val="批注框文本 字符"/>
    <w:basedOn w:val="a1"/>
    <w:link w:val="ad"/>
    <w:uiPriority w:val="99"/>
    <w:semiHidden/>
    <w:rsid w:val="00960062"/>
    <w:rPr>
      <w:rFonts w:ascii="汉鼎简仿宋" w:eastAsia="汉鼎简仿宋"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童海(tonghai)</dc:creator>
  <cp:lastModifiedBy>admin</cp:lastModifiedBy>
  <cp:revision>2</cp:revision>
  <dcterms:created xsi:type="dcterms:W3CDTF">2022-01-12T09:43:00Z</dcterms:created>
  <dcterms:modified xsi:type="dcterms:W3CDTF">2022-01-12T12:42:00Z</dcterms:modified>
</cp:coreProperties>
</file>